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按照教育部《2020年全国硕士研究生招生考试考生进入复试的初试成绩基本要求》，根据我校一志愿上线情况，按生源充足的专业差额比例一般不低于120%的基本要求，制定了学校分专业复试基本分数线，现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一、分专业复试分数线</w:t>
      </w:r>
    </w:p>
    <w:tbl>
      <w:tblPr>
        <w:tblW w:w="4500" w:type="pct"/>
        <w:tblCellSpacing w:w="0" w:type="dxa"/>
        <w:tblInd w:w="15" w:type="dxa"/>
        <w:tblBorders>
          <w:top w:val="single" w:color="999999" w:sz="6" w:space="0"/>
          <w:left w:val="single" w:color="999999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3574"/>
        <w:gridCol w:w="1972"/>
      </w:tblGrid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Style w:val="5"/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院系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Style w:val="5"/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Style w:val="5"/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复试分数线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船舶学院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力学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082401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船舶与海洋结构物设计制造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280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085900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土木水利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航建学院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力学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080700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动力工程及工程热物理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254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082500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航空宇航科学与技术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298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085900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土木水利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动力学院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080700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动力工程及工程热物理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254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082402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轮机工程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254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085800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能源动力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自动化学院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仪器科学与技术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080800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290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0811Z1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人工智能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083100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生物医学工程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水声学院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070206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声学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288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070700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海洋科学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288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081000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082403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水声工程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320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0812Z1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网络安全技术与工程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272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083500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300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机电学院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318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087200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设计学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324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信通学院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080900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081000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290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经管学院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020200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应用经济学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343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120100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管理科学与工程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345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120200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345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120400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345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125100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175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125200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公共管理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175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材化学院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材料科学与工程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270,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≥40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081700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化学工程与技术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270,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≥40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083000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环境科学与工程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085600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材料与化工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外语系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050200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外国语言文学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355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055101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英语笔译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355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人文学院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030100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325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030300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325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035200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社会工作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325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040203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应用心理学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082700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核科学与技术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254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085800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能源动力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体育部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040303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体育教育训练学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285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030500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351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数学科学学院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070100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301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物理与光电工程学院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070207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光学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288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080300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光学工程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085400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总分≥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264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备注：①所列总分(单科分数)要求均指在满足国家线基础上，仍需满足的条件;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②单独考试、“退役大学生士兵计划”复试线另行通知。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二、后续复试工作安排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1、根据黑龙江省招生复试总体要求，学校各院系、各专业复试拟采用远程网络复试方式，复试时间预计在5月中旬。复试工作具体安排另行通知。请各位考生耐心等待，认真备考，及时关注学校研招网发布的相关通知，祝取得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2、学校2020年度硕士招生计划有较大幅度增长，其中部分学术学位和专业学位类别均有调剂缺额。为便于及时、有效地建立拟调剂考生与学校间沟通桥梁，学校将开通“调剂意向报名系统”，并将通过此系统逐步公布拟调剂专业，考生报名情况将作为后续相关招生工作的重要参考。欢迎有调剂意愿的考生报考我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网址：http://yjszs.hrbeu.edu.cn/，注册后填报志愿信息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开通时间：5月2日至5月19日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5月20日“全国硕士生招生调剂服务系统”开通后，所有申请调剂的考生仍须登录该系统进行报名，并须在规定时间内在调剂系统上完成确认流程。最终录取结果以“全国硕士生招生调剂服务系统”为准。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3、学校研招办及各院系联系方式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研究生招生办公室：0451-82589675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0"/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鏂板畫浣�" w:hAnsi="鏂板畫浣�" w:eastAsia="鏂板畫浣�" w:cs="鏂板畫浣�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　　各院系联系方式：</w:t>
      </w:r>
    </w:p>
    <w:tbl>
      <w:tblPr>
        <w:tblW w:w="4500" w:type="pct"/>
        <w:tblCellSpacing w:w="0" w:type="dxa"/>
        <w:tblInd w:w="15" w:type="dxa"/>
        <w:tblBorders>
          <w:top w:val="single" w:color="999999" w:sz="6" w:space="0"/>
          <w:left w:val="single" w:color="999999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5"/>
        <w:gridCol w:w="4627"/>
      </w:tblGrid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Style w:val="5"/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院系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Style w:val="5"/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船舶学院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0451-82569910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航建学院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0451-82569241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动能学院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0451-82569310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自动化学院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0451-82569410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水声学院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0451-82569510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0451-82589601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机电学院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0451-82569710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信通学院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0451-82569810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经管学院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0451-82519614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经管学院专业学位中心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0451-82589130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82589139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材化学院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0451-82569295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外语系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0451-82519170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人文学院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0451-82569513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核学院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0451-82518466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体育部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0451-82518053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0451-82569311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数学科学学院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0451-82518798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物理与光电工程学院</w:t>
            </w:r>
          </w:p>
        </w:tc>
        <w:tc>
          <w:tcPr>
            <w:tcW w:w="0" w:type="auto"/>
            <w:tcBorders>
              <w:bottom w:val="single" w:color="999999" w:sz="6" w:space="0"/>
              <w:right w:val="single" w:color="999999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75" w:lineRule="atLeast"/>
              <w:ind w:left="0" w:right="0"/>
            </w:pPr>
            <w:r>
              <w:rPr>
                <w:rFonts w:hint="default" w:ascii="鏂板畫浣�" w:hAnsi="鏂板畫浣�" w:eastAsia="鏂板畫浣�" w:cs="鏂板畫浣�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/>
              </w:rPr>
              <w:t>0451-82519753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鏂板畫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2021-01-13T09:43:08Z</dcterms:created>
  <dc:creator>高高</dc:creator>
  <cp:lastModifiedBy>高高</cp:lastModifiedBy>
  <dcterms:modified xsi:type="dcterms:W3CDTF">2021-01-13T09:43:42Z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