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26" w:lineRule="atLeast"/>
        <w:ind w:left="0" w:right="0" w:firstLine="0"/>
        <w:jc w:val="left"/>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1. 一志愿及调剂考生复试分数线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26" w:lineRule="atLeast"/>
        <w:ind w:left="0" w:right="0" w:firstLine="0"/>
        <w:jc w:val="left"/>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26"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（1）一志愿报考或是调剂到我校学术学位类考生的初试成绩达到《2018年全国硕士研究生招生考试考生进入复试的初试成绩基本要求（学术学位类）》，可进入我校复试环节，复试不合格者不予录取。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26" w:lineRule="atLeast"/>
        <w:ind w:left="0" w:right="0" w:firstLine="0"/>
        <w:jc w:val="left"/>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26"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2）除会计专业硕士学位（MPACC）和审计专业硕士学位外，一志愿报考或是调剂到我校专业学位类硕士研究生的初试成绩达到《2018年全国硕士研究生招生考试考生进入复试的初试成绩基本要求（专业学位类）》，可进入我校复试环节，复试不合格者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26" w:lineRule="atLeast"/>
        <w:ind w:left="0" w:right="0" w:firstLine="0"/>
        <w:jc w:val="left"/>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26"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（3）会计专业硕士学位和审计专业硕士学位进入我校复试分数线要求，根据学校总体计划完成情况，由招生</w:t>
      </w:r>
      <w:r>
        <w:rPr>
          <w:rFonts w:hint="eastAsia" w:ascii="微软雅黑" w:hAnsi="微软雅黑" w:eastAsia="微软雅黑" w:cs="微软雅黑"/>
          <w:i w:val="0"/>
          <w:caps w:val="0"/>
          <w:color w:val="576B95"/>
          <w:spacing w:val="0"/>
          <w:sz w:val="24"/>
          <w:szCs w:val="24"/>
          <w:u w:val="none"/>
          <w:bdr w:val="none" w:color="auto" w:sz="0" w:space="0"/>
          <w:shd w:val="clear" w:fill="FEFEFE"/>
        </w:rPr>
        <w:fldChar w:fldCharType="begin"/>
      </w:r>
      <w:r>
        <w:rPr>
          <w:rFonts w:hint="eastAsia" w:ascii="微软雅黑" w:hAnsi="微软雅黑" w:eastAsia="微软雅黑" w:cs="微软雅黑"/>
          <w:i w:val="0"/>
          <w:caps w:val="0"/>
          <w:color w:val="576B95"/>
          <w:spacing w:val="0"/>
          <w:sz w:val="24"/>
          <w:szCs w:val="24"/>
          <w:u w:val="none"/>
          <w:bdr w:val="none" w:color="auto" w:sz="0" w:space="0"/>
          <w:shd w:val="clear" w:fill="FEFEFE"/>
        </w:rPr>
        <w:instrText xml:space="preserve"> HYPERLINK "https://www.dxsbb.com/news/list_37.html" \t "https://www.dxsbb.com/news/_blank" </w:instrText>
      </w:r>
      <w:r>
        <w:rPr>
          <w:rFonts w:hint="eastAsia" w:ascii="微软雅黑" w:hAnsi="微软雅黑" w:eastAsia="微软雅黑" w:cs="微软雅黑"/>
          <w:i w:val="0"/>
          <w:caps w:val="0"/>
          <w:color w:val="576B95"/>
          <w:spacing w:val="0"/>
          <w:sz w:val="24"/>
          <w:szCs w:val="24"/>
          <w:u w:val="none"/>
          <w:bdr w:val="none" w:color="auto" w:sz="0" w:space="0"/>
          <w:shd w:val="clear" w:fill="FEFEFE"/>
        </w:rPr>
        <w:fldChar w:fldCharType="separate"/>
      </w:r>
      <w:r>
        <w:rPr>
          <w:rStyle w:val="5"/>
          <w:rFonts w:hint="eastAsia" w:ascii="微软雅黑" w:hAnsi="微软雅黑" w:eastAsia="微软雅黑" w:cs="微软雅黑"/>
          <w:i w:val="0"/>
          <w:caps w:val="0"/>
          <w:color w:val="576B95"/>
          <w:spacing w:val="0"/>
          <w:sz w:val="24"/>
          <w:szCs w:val="24"/>
          <w:u w:val="none"/>
          <w:bdr w:val="none" w:color="auto" w:sz="0" w:space="0"/>
          <w:shd w:val="clear" w:fill="FEFEFE"/>
        </w:rPr>
        <w:t>工作</w:t>
      </w:r>
      <w:r>
        <w:rPr>
          <w:rFonts w:hint="eastAsia" w:ascii="微软雅黑" w:hAnsi="微软雅黑" w:eastAsia="微软雅黑" w:cs="微软雅黑"/>
          <w:i w:val="0"/>
          <w:caps w:val="0"/>
          <w:color w:val="576B95"/>
          <w:spacing w:val="0"/>
          <w:sz w:val="24"/>
          <w:szCs w:val="24"/>
          <w:u w:val="none"/>
          <w:bdr w:val="none" w:color="auto" w:sz="0" w:space="0"/>
          <w:shd w:val="clear" w:fill="FEFEFE"/>
        </w:rPr>
        <w:fldChar w:fldCharType="end"/>
      </w:r>
      <w:r>
        <w:rPr>
          <w:rFonts w:hint="eastAsia" w:ascii="微软雅黑" w:hAnsi="微软雅黑" w:eastAsia="微软雅黑" w:cs="微软雅黑"/>
          <w:i w:val="0"/>
          <w:caps w:val="0"/>
          <w:color w:val="333333"/>
          <w:spacing w:val="0"/>
          <w:sz w:val="24"/>
          <w:szCs w:val="24"/>
          <w:bdr w:val="none" w:color="auto" w:sz="0" w:space="0"/>
          <w:shd w:val="clear" w:fill="FEFEFE"/>
        </w:rPr>
        <w:t>领导小组集体决议确定。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26" w:lineRule="atLeast"/>
        <w:ind w:left="0" w:right="0" w:firstLine="0"/>
        <w:jc w:val="left"/>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26"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（4）</w:t>
      </w:r>
      <w:r>
        <w:rPr>
          <w:rFonts w:hint="eastAsia" w:ascii="微软雅黑" w:hAnsi="微软雅黑" w:eastAsia="微软雅黑" w:cs="微软雅黑"/>
          <w:i w:val="0"/>
          <w:caps w:val="0"/>
          <w:color w:val="576B95"/>
          <w:spacing w:val="0"/>
          <w:sz w:val="24"/>
          <w:szCs w:val="24"/>
          <w:u w:val="none"/>
          <w:bdr w:val="none" w:color="auto" w:sz="0" w:space="0"/>
          <w:shd w:val="clear" w:fill="FEFEFE"/>
        </w:rPr>
        <w:fldChar w:fldCharType="begin"/>
      </w:r>
      <w:r>
        <w:rPr>
          <w:rFonts w:hint="eastAsia" w:ascii="微软雅黑" w:hAnsi="微软雅黑" w:eastAsia="微软雅黑" w:cs="微软雅黑"/>
          <w:i w:val="0"/>
          <w:caps w:val="0"/>
          <w:color w:val="576B95"/>
          <w:spacing w:val="0"/>
          <w:sz w:val="24"/>
          <w:szCs w:val="24"/>
          <w:u w:val="none"/>
          <w:bdr w:val="none" w:color="auto" w:sz="0" w:space="0"/>
          <w:shd w:val="clear" w:fill="FEFEFE"/>
        </w:rPr>
        <w:instrText xml:space="preserve"> HYPERLINK "https://www.dxsbb.com/" \t "https://www.dxsbb.com/news/_blank" </w:instrText>
      </w:r>
      <w:r>
        <w:rPr>
          <w:rFonts w:hint="eastAsia" w:ascii="微软雅黑" w:hAnsi="微软雅黑" w:eastAsia="微软雅黑" w:cs="微软雅黑"/>
          <w:i w:val="0"/>
          <w:caps w:val="0"/>
          <w:color w:val="576B95"/>
          <w:spacing w:val="0"/>
          <w:sz w:val="24"/>
          <w:szCs w:val="24"/>
          <w:u w:val="none"/>
          <w:bdr w:val="none" w:color="auto" w:sz="0" w:space="0"/>
          <w:shd w:val="clear" w:fill="FEFEFE"/>
        </w:rPr>
        <w:fldChar w:fldCharType="separate"/>
      </w:r>
      <w:r>
        <w:rPr>
          <w:rStyle w:val="5"/>
          <w:rFonts w:hint="eastAsia" w:ascii="微软雅黑" w:hAnsi="微软雅黑" w:eastAsia="微软雅黑" w:cs="微软雅黑"/>
          <w:i w:val="0"/>
          <w:caps w:val="0"/>
          <w:color w:val="576B95"/>
          <w:spacing w:val="0"/>
          <w:sz w:val="24"/>
          <w:szCs w:val="24"/>
          <w:u w:val="none"/>
          <w:bdr w:val="none" w:color="auto" w:sz="0" w:space="0"/>
          <w:shd w:val="clear" w:fill="FEFEFE"/>
        </w:rPr>
        <w:t>大学生</w:t>
      </w:r>
      <w:r>
        <w:rPr>
          <w:rFonts w:hint="eastAsia" w:ascii="微软雅黑" w:hAnsi="微软雅黑" w:eastAsia="微软雅黑" w:cs="微软雅黑"/>
          <w:i w:val="0"/>
          <w:caps w:val="0"/>
          <w:color w:val="576B95"/>
          <w:spacing w:val="0"/>
          <w:sz w:val="24"/>
          <w:szCs w:val="24"/>
          <w:u w:val="none"/>
          <w:bdr w:val="none" w:color="auto" w:sz="0" w:space="0"/>
          <w:shd w:val="clear" w:fill="FEFEFE"/>
        </w:rPr>
        <w:fldChar w:fldCharType="end"/>
      </w:r>
      <w:r>
        <w:rPr>
          <w:rFonts w:hint="eastAsia" w:ascii="微软雅黑" w:hAnsi="微软雅黑" w:eastAsia="微软雅黑" w:cs="微软雅黑"/>
          <w:i w:val="0"/>
          <w:caps w:val="0"/>
          <w:color w:val="333333"/>
          <w:spacing w:val="0"/>
          <w:sz w:val="24"/>
          <w:szCs w:val="24"/>
          <w:bdr w:val="none" w:color="auto" w:sz="0" w:space="0"/>
          <w:shd w:val="clear" w:fill="FEFEFE"/>
        </w:rPr>
        <w:t>退役士兵专项计划由招生工作领导小组集体决议确定进入复试分数线。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26" w:lineRule="atLeast"/>
        <w:ind w:left="0" w:right="0" w:firstLine="0"/>
        <w:jc w:val="left"/>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26"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2.破格考生复试分数线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26" w:lineRule="atLeast"/>
        <w:ind w:left="0" w:right="0" w:firstLine="0"/>
        <w:jc w:val="left"/>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26"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（1）一志愿上线生源充足的学术学位类、专业学位类各专业不进行破格复试。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26" w:lineRule="atLeast"/>
        <w:ind w:left="0" w:right="0" w:firstLine="0"/>
        <w:jc w:val="left"/>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26"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2）一志愿上线人数不足的学术学位类各专业，对初试公共科目成绩略低于全国初试成绩基本要求，但专业科目成绩特别优异或在科研创新方面具有突出表现的考生，可允许其破格参加第一志愿报考单位第一志愿专业复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26" w:lineRule="atLeast"/>
        <w:ind w:left="0" w:right="0" w:firstLine="0"/>
        <w:jc w:val="left"/>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26"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在遵循上述原则下，具体破格复试专业及名额由研究生招生工作领导小组集体决议。</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D51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2021-01-14T07:46:57Z</dcterms:created>
  <dc:creator>高高</dc:creator>
  <cp:lastModifiedBy>高高</cp:lastModifiedBy>
  <dcterms:modified xsi:type="dcterms:W3CDTF">2021-01-14T07:47:00Z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