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中国美术学院2019年硕士研究生入学考试复试和录取实施细则</w:t>
      </w:r>
    </w:p>
    <w:p>
      <w:pPr>
        <w:pStyle w:val="2"/>
        <w:keepNext w:val="0"/>
        <w:keepLines w:val="0"/>
        <w:widowControl/>
        <w:suppressLineNumbers w:val="0"/>
      </w:pPr>
      <w:r>
        <w:t>为继续深化实施“阳光招生工程”，贯彻“按需招生、德智体全面衡量、择优录取、宁缺毋滥”的原则，使我院研究生复试组织工作更加高效、公平、公正，招收真正优秀的学生进入我院硕士研究生阶段学习，根据教育部印发的《2019年全国硕士研究生招生工作管理规定》（教学&lt;2018&gt;5号）精神及《中国美术学院2019年攻读硕士研究生招生简章》有关规定，特制定《中国美术学院2019年硕士研究生入学考试复试和录取实施细则》。</w:t>
      </w:r>
    </w:p>
    <w:p>
      <w:pPr>
        <w:pStyle w:val="2"/>
        <w:keepNext w:val="0"/>
        <w:keepLines w:val="0"/>
        <w:widowControl/>
        <w:suppressLineNumbers w:val="0"/>
      </w:pPr>
      <w:r>
        <w:t>一、复试基本要求及复试比例</w:t>
      </w:r>
    </w:p>
    <w:p>
      <w:pPr>
        <w:pStyle w:val="2"/>
        <w:keepNext w:val="0"/>
        <w:keepLines w:val="0"/>
        <w:widowControl/>
        <w:suppressLineNumbers w:val="0"/>
      </w:pPr>
      <w:r>
        <w:t>1、复试基本要求：</w:t>
      </w:r>
    </w:p>
    <w:p>
      <w:pPr>
        <w:pStyle w:val="2"/>
        <w:keepNext w:val="0"/>
        <w:keepLines w:val="0"/>
        <w:widowControl/>
        <w:suppressLineNumbers w:val="0"/>
      </w:pPr>
      <w:r>
        <w:t>学科（专业代码）含专业学位政治外语业务课1业务课2总分备注1、包含（全日制）与（非全日制）各研究方向。             2、对符合基本要求的考生初试成绩总分从高到低排序，按各研究方向招生计划1：2比例确定复试名单。</w:t>
      </w:r>
    </w:p>
    <w:tbl>
      <w:tblPr>
        <w:tblW w:w="946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168"/>
        <w:gridCol w:w="1256"/>
        <w:gridCol w:w="1256"/>
        <w:gridCol w:w="1256"/>
        <w:gridCol w:w="1257"/>
        <w:gridCol w:w="12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美术学（130400）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设计学（130500）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艺术学理论（130100）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pStyle w:val="2"/>
              <w:keepNext w:val="0"/>
              <w:keepLines w:val="0"/>
              <w:widowControl/>
              <w:suppressLineNumbers w:val="0"/>
            </w:pPr>
            <w:r>
              <w:t>戏剧与影视学</w:t>
            </w:r>
          </w:p>
          <w:p>
            <w:pPr>
              <w:pStyle w:val="2"/>
              <w:keepNext w:val="0"/>
              <w:keepLines w:val="0"/>
              <w:widowControl/>
              <w:suppressLineNumbers w:val="0"/>
            </w:pPr>
            <w:r>
              <w:t>（130300）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建筑学（081300）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39</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39</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美术 （135107）</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艺术设计（135108）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文物与博物馆（65100）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44</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44</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132</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44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风景园林（95300）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34</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90</w:t>
            </w:r>
          </w:p>
        </w:tc>
        <w:tc>
          <w:tcPr>
            <w:tcW w:w="9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255</w:t>
            </w:r>
          </w:p>
        </w:tc>
      </w:tr>
    </w:tbl>
    <w:p>
      <w:pPr>
        <w:pStyle w:val="2"/>
        <w:keepNext w:val="0"/>
        <w:keepLines w:val="0"/>
        <w:widowControl/>
        <w:suppressLineNumbers w:val="0"/>
      </w:pPr>
      <w:r>
        <w:rPr>
          <w:rStyle w:val="5"/>
        </w:rPr>
        <w:t>注：①报考退役士兵专项计划复试须满足以下条件：业务课单科90分（含）以上，同时初试成绩总分320分（含）以上；对符合基本要求的考生初试成绩总分从高到低排序，所有专业打通按照拟招生计划数（共5个）的1:2确定复试名单。</w:t>
      </w:r>
    </w:p>
    <w:p>
      <w:pPr>
        <w:pStyle w:val="2"/>
        <w:keepNext w:val="0"/>
        <w:keepLines w:val="0"/>
        <w:widowControl/>
        <w:suppressLineNumbers w:val="0"/>
      </w:pPr>
      <w:r>
        <w:rPr>
          <w:rStyle w:val="5"/>
        </w:rPr>
        <w:t>②报考港、澳、台硕士研究生复试须满足以下条件：外语单科38分（含）以上，同时业务单科90分（含）以上；对符合基本要求的考生直接确定复试名单。</w:t>
      </w:r>
    </w:p>
    <w:p>
      <w:pPr>
        <w:pStyle w:val="2"/>
        <w:keepNext w:val="0"/>
        <w:keepLines w:val="0"/>
        <w:widowControl/>
        <w:suppressLineNumbers w:val="0"/>
      </w:pPr>
      <w:r>
        <w:t> </w:t>
      </w:r>
    </w:p>
    <w:p>
      <w:pPr>
        <w:pStyle w:val="2"/>
        <w:keepNext w:val="0"/>
        <w:keepLines w:val="0"/>
        <w:widowControl/>
        <w:suppressLineNumbers w:val="0"/>
      </w:pPr>
      <w:r>
        <w:t>2、复试比例：复试采取差额形式，对符合复试基本要求的考生根据各研究方向初试成绩总分从高到低排序，按各研究方向招生计划1：2比例确定复试名单；如遇末位同分者，则均可参加复试。退役士兵专项计划单列。</w:t>
      </w:r>
    </w:p>
    <w:p>
      <w:pPr>
        <w:pStyle w:val="2"/>
        <w:keepNext w:val="0"/>
        <w:keepLines w:val="0"/>
        <w:widowControl/>
        <w:suppressLineNumbers w:val="0"/>
      </w:pPr>
      <w:r>
        <w:t> </w:t>
      </w:r>
    </w:p>
    <w:p>
      <w:pPr>
        <w:pStyle w:val="2"/>
        <w:keepNext w:val="0"/>
        <w:keepLines w:val="0"/>
        <w:widowControl/>
        <w:suppressLineNumbers w:val="0"/>
      </w:pPr>
      <w:r>
        <w:t>二、复试科目与分值</w:t>
      </w:r>
    </w:p>
    <w:p>
      <w:pPr>
        <w:pStyle w:val="2"/>
        <w:keepNext w:val="0"/>
        <w:keepLines w:val="0"/>
        <w:widowControl/>
        <w:suppressLineNumbers w:val="0"/>
      </w:pPr>
      <w:r>
        <w:t>复试成绩满分200分。</w:t>
      </w:r>
    </w:p>
    <w:p>
      <w:pPr>
        <w:pStyle w:val="2"/>
        <w:keepNext w:val="0"/>
        <w:keepLines w:val="0"/>
        <w:widowControl/>
        <w:suppressLineNumbers w:val="0"/>
      </w:pPr>
      <w:r>
        <w:t>复试科目分为专业考试（120分）、外语听力测试（20分）和综合面试（60分）三部分。（同等学力者须加试美术理论知识和写作二门课程，各100分）</w:t>
      </w:r>
    </w:p>
    <w:p>
      <w:pPr>
        <w:pStyle w:val="2"/>
        <w:keepNext w:val="0"/>
        <w:keepLines w:val="0"/>
        <w:widowControl/>
        <w:suppressLineNumbers w:val="0"/>
      </w:pPr>
      <w:r>
        <w:t>专业笔试科目根据各研究方向不同，进行</w:t>
      </w:r>
      <w:r>
        <w:rPr>
          <w:u w:val="single"/>
        </w:rPr>
        <w:t>专业创作</w:t>
      </w:r>
      <w:r>
        <w:t>或</w:t>
      </w:r>
      <w:r>
        <w:rPr>
          <w:u w:val="single"/>
        </w:rPr>
        <w:t>专业设计</w:t>
      </w:r>
      <w:r>
        <w:t>或者</w:t>
      </w:r>
      <w:r>
        <w:rPr>
          <w:u w:val="single"/>
        </w:rPr>
        <w:t>专业论文</w:t>
      </w:r>
      <w:r>
        <w:t>的考试。</w:t>
      </w:r>
    </w:p>
    <w:p>
      <w:pPr>
        <w:pStyle w:val="2"/>
        <w:keepNext w:val="0"/>
        <w:keepLines w:val="0"/>
        <w:widowControl/>
        <w:suppressLineNumbers w:val="0"/>
      </w:pPr>
      <w:r>
        <w:t> </w:t>
      </w:r>
    </w:p>
    <w:p>
      <w:pPr>
        <w:pStyle w:val="2"/>
        <w:keepNext w:val="0"/>
        <w:keepLines w:val="0"/>
        <w:widowControl/>
        <w:suppressLineNumbers w:val="0"/>
      </w:pPr>
      <w:r>
        <w:t>三、复试时间、复试科目测试时间与地点</w:t>
      </w:r>
    </w:p>
    <w:p>
      <w:pPr>
        <w:pStyle w:val="2"/>
        <w:keepNext w:val="0"/>
        <w:keepLines w:val="0"/>
        <w:widowControl/>
        <w:suppressLineNumbers w:val="0"/>
      </w:pPr>
      <w:r>
        <w:t>1、复试报到：2019年3月23日上午9：30—16：30，逾期视为自动放弃。</w:t>
      </w:r>
    </w:p>
    <w:p>
      <w:pPr>
        <w:pStyle w:val="2"/>
        <w:keepNext w:val="0"/>
        <w:keepLines w:val="0"/>
        <w:widowControl/>
        <w:suppressLineNumbers w:val="0"/>
      </w:pPr>
      <w:r>
        <w:t>报到地点：中国美术学院南山校区招生办。（报到具体要求详见复试通知）</w:t>
      </w:r>
    </w:p>
    <w:p>
      <w:pPr>
        <w:pStyle w:val="2"/>
        <w:keepNext w:val="0"/>
        <w:keepLines w:val="0"/>
        <w:widowControl/>
        <w:suppressLineNumbers w:val="0"/>
      </w:pPr>
      <w:r>
        <w:t>2、复试时间：2019年3月24日—25日，同等学力加试3月26日。</w:t>
      </w:r>
    </w:p>
    <w:p>
      <w:pPr>
        <w:pStyle w:val="2"/>
        <w:keepNext w:val="0"/>
        <w:keepLines w:val="0"/>
        <w:widowControl/>
        <w:suppressLineNumbers w:val="0"/>
      </w:pPr>
      <w:r>
        <w:t>3、复试科目测试时间：专业考试时间3—6小时；外语听力测试时间45分钟；综合面试时间每生5-10分钟左右；同等学力者加试两门科目，每门3小时。</w:t>
      </w:r>
    </w:p>
    <w:p>
      <w:pPr>
        <w:pStyle w:val="2"/>
        <w:keepNext w:val="0"/>
        <w:keepLines w:val="0"/>
        <w:widowControl/>
        <w:suppressLineNumbers w:val="0"/>
      </w:pPr>
      <w:r>
        <w:t>4、复试地点：中国美术学院南山校区和象山校区。</w:t>
      </w:r>
    </w:p>
    <w:p>
      <w:pPr>
        <w:pStyle w:val="2"/>
        <w:keepNext w:val="0"/>
        <w:keepLines w:val="0"/>
        <w:widowControl/>
        <w:suppressLineNumbers w:val="0"/>
      </w:pPr>
      <w:r>
        <w:t> </w:t>
      </w:r>
    </w:p>
    <w:p>
      <w:pPr>
        <w:pStyle w:val="2"/>
        <w:keepNext w:val="0"/>
        <w:keepLines w:val="0"/>
        <w:widowControl/>
        <w:suppressLineNumbers w:val="0"/>
      </w:pPr>
      <w:r>
        <w:t>四、录取实施细则</w:t>
      </w:r>
    </w:p>
    <w:p>
      <w:pPr>
        <w:pStyle w:val="2"/>
        <w:keepNext w:val="0"/>
        <w:keepLines w:val="0"/>
        <w:widowControl/>
        <w:suppressLineNumbers w:val="0"/>
      </w:pPr>
      <w:r>
        <w:t>     根据教育部下达的招生计划，按照考生入学考试成绩（含初试和复试）、业务素质、思想政治表现和身体健康状况，择优录取。坚持立德树人，思想品德考核不合格者不予录取。</w:t>
      </w:r>
    </w:p>
    <w:p>
      <w:pPr>
        <w:pStyle w:val="2"/>
        <w:keepNext w:val="0"/>
        <w:keepLines w:val="0"/>
        <w:widowControl/>
        <w:suppressLineNumbers w:val="0"/>
      </w:pPr>
      <w:r>
        <w:t>    1、招生计划：按照教育部2019年下达的拟招生计划数执行。招生总规模610名（含已拟录取推免生、退伍士兵专项计划），分别为：全日制学术型201名，全日制专业学位型315名，非全日制专业学位型94名。</w:t>
      </w:r>
    </w:p>
    <w:p>
      <w:pPr>
        <w:pStyle w:val="2"/>
        <w:keepNext w:val="0"/>
        <w:keepLines w:val="0"/>
        <w:widowControl/>
        <w:suppressLineNumbers w:val="0"/>
      </w:pPr>
      <w:r>
        <w:t>2、参加复试的考生须同时满足以下条件才能参加综合分排名：</w:t>
      </w:r>
    </w:p>
    <w:p>
      <w:pPr>
        <w:pStyle w:val="2"/>
        <w:keepNext w:val="0"/>
        <w:keepLines w:val="0"/>
        <w:widowControl/>
        <w:suppressLineNumbers w:val="0"/>
      </w:pPr>
      <w:r>
        <w:t>（1）专业考试成绩72分以上（含72分）；</w:t>
      </w:r>
    </w:p>
    <w:p>
      <w:pPr>
        <w:pStyle w:val="2"/>
        <w:keepNext w:val="0"/>
        <w:keepLines w:val="0"/>
        <w:widowControl/>
        <w:suppressLineNumbers w:val="0"/>
      </w:pPr>
      <w:r>
        <w:t>（2）复试总成绩在120分以上（含120分）。                    </w:t>
      </w:r>
    </w:p>
    <w:p>
      <w:pPr>
        <w:pStyle w:val="2"/>
        <w:keepNext w:val="0"/>
        <w:keepLines w:val="0"/>
        <w:widowControl/>
        <w:suppressLineNumbers w:val="0"/>
      </w:pPr>
      <w:r>
        <w:t>【同等学力者二门加试成绩不计入综合分，但均需达60分以上（含60分）】</w:t>
      </w:r>
    </w:p>
    <w:p>
      <w:pPr>
        <w:pStyle w:val="2"/>
        <w:keepNext w:val="0"/>
        <w:keepLines w:val="0"/>
        <w:widowControl/>
        <w:suppressLineNumbers w:val="0"/>
      </w:pPr>
      <w:r>
        <w:t>   3、根据各研究方向，分别进行综合分排名，按照招生计划数，择优录取。</w:t>
      </w:r>
    </w:p>
    <w:p>
      <w:pPr>
        <w:pStyle w:val="2"/>
        <w:keepNext w:val="0"/>
        <w:keepLines w:val="0"/>
        <w:widowControl/>
        <w:suppressLineNumbers w:val="0"/>
      </w:pPr>
      <w:r>
        <w:t>综合分（按初、复试总成绩各占50%的比例相加）计算方法：　　</w:t>
      </w:r>
    </w:p>
    <w:p>
      <w:pPr>
        <w:pStyle w:val="2"/>
        <w:keepNext w:val="0"/>
        <w:keepLines w:val="0"/>
        <w:widowControl/>
        <w:suppressLineNumbers w:val="0"/>
      </w:pPr>
      <w:r>
        <w:t>综合分＝初试总成绩÷500×50＋复试总成绩÷200×50　</w:t>
      </w:r>
    </w:p>
    <w:p>
      <w:pPr>
        <w:pStyle w:val="2"/>
        <w:keepNext w:val="0"/>
        <w:keepLines w:val="0"/>
        <w:widowControl/>
        <w:suppressLineNumbers w:val="0"/>
      </w:pPr>
      <w:r>
        <w:t>    4、全日制学术型、专业学位型研究生，及非全日制专业学位型研究生原则上以初试报名确定的身份录取，院招生委员会可以根据学科发展需要及生源情况等按照有关规定作适当调整。　</w:t>
      </w:r>
    </w:p>
    <w:p>
      <w:pPr>
        <w:pStyle w:val="2"/>
        <w:keepNext w:val="0"/>
        <w:keepLines w:val="0"/>
        <w:widowControl/>
        <w:suppressLineNumbers w:val="0"/>
      </w:pPr>
      <w:r>
        <w:t>    5、学生报考资格审查合格，体检合格。</w:t>
      </w:r>
    </w:p>
    <w:p>
      <w:pPr>
        <w:pStyle w:val="2"/>
        <w:keepNext w:val="0"/>
        <w:keepLines w:val="0"/>
        <w:widowControl/>
        <w:suppressLineNumbers w:val="0"/>
      </w:pPr>
      <w:r>
        <w:t> </w:t>
      </w:r>
    </w:p>
    <w:p>
      <w:pPr>
        <w:pStyle w:val="2"/>
        <w:keepNext w:val="0"/>
        <w:keepLines w:val="0"/>
        <w:widowControl/>
        <w:suppressLineNumbers w:val="0"/>
      </w:pPr>
      <w:r>
        <w:t>五、其他</w:t>
      </w:r>
    </w:p>
    <w:p>
      <w:pPr>
        <w:pStyle w:val="2"/>
        <w:keepNext w:val="0"/>
        <w:keepLines w:val="0"/>
        <w:widowControl/>
        <w:suppressLineNumbers w:val="0"/>
      </w:pPr>
      <w:r>
        <w:t>    1、我院所有招生信息均发布在中国美术学院招生网上</w:t>
      </w:r>
      <w:r>
        <w:fldChar w:fldCharType="begin"/>
      </w:r>
      <w:r>
        <w:instrText xml:space="preserve"> HYPERLINK "http://zb.caa.edu.cn/" </w:instrText>
      </w:r>
      <w:r>
        <w:fldChar w:fldCharType="separate"/>
      </w:r>
      <w:r>
        <w:rPr>
          <w:rStyle w:val="6"/>
        </w:rPr>
        <w:t>http://zb.caa.edu.cn/</w:t>
      </w:r>
      <w:r>
        <w:fldChar w:fldCharType="end"/>
      </w:r>
      <w:r>
        <w:t>，请关注。</w:t>
      </w:r>
    </w:p>
    <w:p>
      <w:pPr>
        <w:pStyle w:val="2"/>
        <w:keepNext w:val="0"/>
        <w:keepLines w:val="0"/>
        <w:widowControl/>
        <w:suppressLineNumbers w:val="0"/>
      </w:pPr>
      <w:r>
        <w:t>    2、中国美术学院招生办享有本实施细则最终解释权。</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5AB5"/>
    <w:rsid w:val="08A12516"/>
    <w:rsid w:val="245363F7"/>
    <w:rsid w:val="266B64FC"/>
    <w:rsid w:val="3B7D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2021-01-14T07:21:45Z</dcterms:created>
  <dc:creator>s1997</dc:creator>
  <cp:lastModifiedBy>Every.</cp:lastModifiedBy>
  <dcterms:modified xsi:type="dcterms:W3CDTF">2021-01-14T07:31:17Z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