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t>中国美术学院2020年硕士研究生入学考试复试办法和录取实施细则</w:t>
      </w:r>
    </w:p>
    <w:p>
      <w:pPr>
        <w:pStyle w:val="2"/>
        <w:keepNext w:val="0"/>
        <w:keepLines w:val="0"/>
        <w:widowControl/>
        <w:suppressLineNumbers w:val="0"/>
      </w:pPr>
      <w:r>
        <w:t>    中国美术学院深入贯彻落实习近平总书记关于统筹推进新冠肺炎疫情防控和经济社会发展工作的重要讲话和重要指示批示精神，在确保安全性、公平性和科学性的基础上，统筹兼顾、精准施策、严格管理，根据《2020年全国硕士研究生招生工作管理规定》《教育部办公厅关于做好2020年全国硕士研究生复试工作的通知》以及《中国美术学院2020年攻读硕士研究生招生简章》有关规定，特制定《中国美术学院2020年硕士研究生入学考试复试办法和录取实施细则》。</w:t>
      </w:r>
    </w:p>
    <w:p>
      <w:pPr>
        <w:pStyle w:val="2"/>
        <w:keepNext w:val="0"/>
        <w:keepLines w:val="0"/>
        <w:widowControl/>
        <w:suppressLineNumbers w:val="0"/>
      </w:pPr>
      <w:r>
        <w:t> </w:t>
      </w:r>
    </w:p>
    <w:p>
      <w:pPr>
        <w:pStyle w:val="2"/>
        <w:keepNext w:val="0"/>
        <w:keepLines w:val="0"/>
        <w:widowControl/>
        <w:suppressLineNumbers w:val="0"/>
      </w:pPr>
      <w:r>
        <w:t>    一、复试办法</w:t>
      </w:r>
    </w:p>
    <w:p>
      <w:pPr>
        <w:pStyle w:val="2"/>
        <w:keepNext w:val="0"/>
        <w:keepLines w:val="0"/>
        <w:widowControl/>
        <w:suppressLineNumbers w:val="0"/>
      </w:pPr>
      <w:r>
        <w:t>   （一）复试基本要求及复试比例</w:t>
      </w:r>
    </w:p>
    <w:p>
      <w:pPr>
        <w:pStyle w:val="2"/>
        <w:keepNext w:val="0"/>
        <w:keepLines w:val="0"/>
        <w:widowControl/>
        <w:suppressLineNumbers w:val="0"/>
      </w:pPr>
      <w:r>
        <w:t>1、复试基本要求：复试是研究生入学考试的重要组成部分，坚持科学选拔、全面考察、突出重点，考核考生的创作能力、科研潜质和综合素养。考生复试前必须通过报考资格审查，初试成绩符合进入中国美术学院2020年硕士研究生（含非全日制）复试的总分线及单科分数线的基本要求。</w:t>
      </w:r>
    </w:p>
    <w:tbl>
      <w:tblPr>
        <w:tblW w:w="8958" w:type="dxa"/>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3107"/>
        <w:gridCol w:w="735"/>
        <w:gridCol w:w="735"/>
        <w:gridCol w:w="1024"/>
        <w:gridCol w:w="1020"/>
        <w:gridCol w:w="1012"/>
        <w:gridCol w:w="13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00" w:hRule="atLeast"/>
          <w:tblCellSpacing w:w="15" w:type="dxa"/>
        </w:trPr>
        <w:tc>
          <w:tcPr>
            <w:tcW w:w="3062" w:type="dxa"/>
            <w:shd w:val="clear"/>
            <w:vAlign w:val="center"/>
          </w:tcPr>
          <w:p>
            <w:pPr>
              <w:pStyle w:val="2"/>
              <w:keepNext w:val="0"/>
              <w:keepLines w:val="0"/>
              <w:widowControl/>
              <w:suppressLineNumbers w:val="0"/>
            </w:pPr>
            <w:r>
              <w:t>学科（专业代码）含专业学位</w:t>
            </w:r>
          </w:p>
        </w:tc>
        <w:tc>
          <w:tcPr>
            <w:tcW w:w="705" w:type="dxa"/>
            <w:shd w:val="clear"/>
            <w:vAlign w:val="center"/>
          </w:tcPr>
          <w:p>
            <w:pPr>
              <w:pStyle w:val="2"/>
              <w:keepNext w:val="0"/>
              <w:keepLines w:val="0"/>
              <w:widowControl/>
              <w:suppressLineNumbers w:val="0"/>
            </w:pPr>
            <w:r>
              <w:t>政治</w:t>
            </w:r>
          </w:p>
        </w:tc>
        <w:tc>
          <w:tcPr>
            <w:tcW w:w="705" w:type="dxa"/>
            <w:shd w:val="clear"/>
            <w:vAlign w:val="center"/>
          </w:tcPr>
          <w:p>
            <w:pPr>
              <w:pStyle w:val="2"/>
              <w:keepNext w:val="0"/>
              <w:keepLines w:val="0"/>
              <w:widowControl/>
              <w:suppressLineNumbers w:val="0"/>
            </w:pPr>
            <w:r>
              <w:t>外语</w:t>
            </w:r>
          </w:p>
        </w:tc>
        <w:tc>
          <w:tcPr>
            <w:tcW w:w="994" w:type="dxa"/>
            <w:shd w:val="clear"/>
            <w:vAlign w:val="center"/>
          </w:tcPr>
          <w:p>
            <w:pPr>
              <w:pStyle w:val="2"/>
              <w:keepNext w:val="0"/>
              <w:keepLines w:val="0"/>
              <w:widowControl/>
              <w:suppressLineNumbers w:val="0"/>
            </w:pPr>
            <w:r>
              <w:t>业务课1</w:t>
            </w:r>
          </w:p>
        </w:tc>
        <w:tc>
          <w:tcPr>
            <w:tcW w:w="990" w:type="dxa"/>
            <w:shd w:val="clear"/>
            <w:vAlign w:val="center"/>
          </w:tcPr>
          <w:p>
            <w:pPr>
              <w:pStyle w:val="2"/>
              <w:keepNext w:val="0"/>
              <w:keepLines w:val="0"/>
              <w:widowControl/>
              <w:suppressLineNumbers w:val="0"/>
            </w:pPr>
            <w:r>
              <w:t>业务课2</w:t>
            </w:r>
          </w:p>
        </w:tc>
        <w:tc>
          <w:tcPr>
            <w:tcW w:w="982" w:type="dxa"/>
            <w:shd w:val="clear"/>
            <w:vAlign w:val="center"/>
          </w:tcPr>
          <w:p>
            <w:pPr>
              <w:pStyle w:val="2"/>
              <w:keepNext w:val="0"/>
              <w:keepLines w:val="0"/>
              <w:widowControl/>
              <w:suppressLineNumbers w:val="0"/>
            </w:pPr>
            <w:r>
              <w:t>总分</w:t>
            </w:r>
          </w:p>
        </w:tc>
        <w:tc>
          <w:tcPr>
            <w:tcW w:w="1280" w:type="dxa"/>
            <w:shd w:val="clear"/>
            <w:vAlign w:val="center"/>
          </w:tcPr>
          <w:p>
            <w:pPr>
              <w:pStyle w:val="2"/>
              <w:keepNext w:val="0"/>
              <w:keepLines w:val="0"/>
              <w:widowControl/>
              <w:suppressLineNumbers w:val="0"/>
            </w:pPr>
            <w: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72" w:hRule="atLeast"/>
          <w:tblCellSpacing w:w="15" w:type="dxa"/>
        </w:trPr>
        <w:tc>
          <w:tcPr>
            <w:tcW w:w="3062" w:type="dxa"/>
            <w:shd w:val="clear"/>
            <w:vAlign w:val="center"/>
          </w:tcPr>
          <w:p>
            <w:pPr>
              <w:pStyle w:val="2"/>
              <w:keepNext w:val="0"/>
              <w:keepLines w:val="0"/>
              <w:widowControl/>
              <w:suppressLineNumbers w:val="0"/>
            </w:pPr>
            <w:r>
              <w:t>美术学（130400）</w:t>
            </w:r>
          </w:p>
        </w:tc>
        <w:tc>
          <w:tcPr>
            <w:tcW w:w="705" w:type="dxa"/>
            <w:shd w:val="clear"/>
            <w:vAlign w:val="center"/>
          </w:tcPr>
          <w:p>
            <w:pPr>
              <w:pStyle w:val="2"/>
              <w:keepNext w:val="0"/>
              <w:keepLines w:val="0"/>
              <w:widowControl/>
              <w:suppressLineNumbers w:val="0"/>
            </w:pPr>
            <w:r>
              <w:t>38</w:t>
            </w:r>
          </w:p>
        </w:tc>
        <w:tc>
          <w:tcPr>
            <w:tcW w:w="705" w:type="dxa"/>
            <w:shd w:val="clear"/>
            <w:vAlign w:val="center"/>
          </w:tcPr>
          <w:p>
            <w:pPr>
              <w:pStyle w:val="2"/>
              <w:keepNext w:val="0"/>
              <w:keepLines w:val="0"/>
              <w:widowControl/>
              <w:suppressLineNumbers w:val="0"/>
            </w:pPr>
            <w:r>
              <w:t>38</w:t>
            </w:r>
          </w:p>
        </w:tc>
        <w:tc>
          <w:tcPr>
            <w:tcW w:w="994" w:type="dxa"/>
            <w:shd w:val="clear"/>
            <w:vAlign w:val="center"/>
          </w:tcPr>
          <w:p>
            <w:pPr>
              <w:pStyle w:val="2"/>
              <w:keepNext w:val="0"/>
              <w:keepLines w:val="0"/>
              <w:widowControl/>
              <w:suppressLineNumbers w:val="0"/>
            </w:pPr>
            <w:r>
              <w:t>90</w:t>
            </w:r>
          </w:p>
        </w:tc>
        <w:tc>
          <w:tcPr>
            <w:tcW w:w="990" w:type="dxa"/>
            <w:shd w:val="clear"/>
            <w:vAlign w:val="center"/>
          </w:tcPr>
          <w:p>
            <w:pPr>
              <w:pStyle w:val="2"/>
              <w:keepNext w:val="0"/>
              <w:keepLines w:val="0"/>
              <w:widowControl/>
              <w:suppressLineNumbers w:val="0"/>
            </w:pPr>
            <w:r>
              <w:t>90</w:t>
            </w:r>
          </w:p>
        </w:tc>
        <w:tc>
          <w:tcPr>
            <w:tcW w:w="982" w:type="dxa"/>
            <w:shd w:val="clear"/>
            <w:vAlign w:val="center"/>
          </w:tcPr>
          <w:p>
            <w:pPr>
              <w:pStyle w:val="2"/>
              <w:keepNext w:val="0"/>
              <w:keepLines w:val="0"/>
              <w:widowControl/>
              <w:suppressLineNumbers w:val="0"/>
            </w:pPr>
            <w:r>
              <w:t>347</w:t>
            </w:r>
          </w:p>
        </w:tc>
        <w:tc>
          <w:tcPr>
            <w:tcW w:w="1280" w:type="dxa"/>
            <w:vMerge w:val="restart"/>
            <w:shd w:val="clear"/>
            <w:vAlign w:val="center"/>
          </w:tcPr>
          <w:p>
            <w:pPr>
              <w:pStyle w:val="2"/>
              <w:keepNext w:val="0"/>
              <w:keepLines w:val="0"/>
              <w:widowControl/>
              <w:suppressLineNumbers w:val="0"/>
            </w:pPr>
            <w:r>
              <w:rPr>
                <w:rStyle w:val="5"/>
              </w:rPr>
              <w:t>1、包含（全日制）与（非全日制）各研究方向。</w:t>
            </w:r>
          </w:p>
          <w:p>
            <w:pPr>
              <w:pStyle w:val="2"/>
              <w:keepNext w:val="0"/>
              <w:keepLines w:val="0"/>
              <w:widowControl/>
              <w:suppressLineNumbers w:val="0"/>
            </w:pPr>
            <w:r>
              <w:rPr>
                <w:rStyle w:val="5"/>
              </w:rPr>
              <w:t>2、对符合基本要求的考生初试成绩总分从高到低排序，按各研究方向招生计划1：2比例确定复试名单。如遇末位同分者，则均可参加复试。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72" w:hRule="atLeast"/>
          <w:tblCellSpacing w:w="15" w:type="dxa"/>
        </w:trPr>
        <w:tc>
          <w:tcPr>
            <w:tcW w:w="3062" w:type="dxa"/>
            <w:shd w:val="clear"/>
            <w:vAlign w:val="center"/>
          </w:tcPr>
          <w:p>
            <w:pPr>
              <w:pStyle w:val="2"/>
              <w:keepNext w:val="0"/>
              <w:keepLines w:val="0"/>
              <w:widowControl/>
              <w:suppressLineNumbers w:val="0"/>
            </w:pPr>
            <w:r>
              <w:t>设计学（130500）</w:t>
            </w:r>
          </w:p>
        </w:tc>
        <w:tc>
          <w:tcPr>
            <w:tcW w:w="705" w:type="dxa"/>
            <w:shd w:val="clear"/>
            <w:vAlign w:val="center"/>
          </w:tcPr>
          <w:p>
            <w:pPr>
              <w:pStyle w:val="2"/>
              <w:keepNext w:val="0"/>
              <w:keepLines w:val="0"/>
              <w:widowControl/>
              <w:suppressLineNumbers w:val="0"/>
            </w:pPr>
            <w:r>
              <w:t>38</w:t>
            </w:r>
          </w:p>
        </w:tc>
        <w:tc>
          <w:tcPr>
            <w:tcW w:w="705" w:type="dxa"/>
            <w:shd w:val="clear"/>
            <w:vAlign w:val="center"/>
          </w:tcPr>
          <w:p>
            <w:pPr>
              <w:pStyle w:val="2"/>
              <w:keepNext w:val="0"/>
              <w:keepLines w:val="0"/>
              <w:widowControl/>
              <w:suppressLineNumbers w:val="0"/>
            </w:pPr>
            <w:r>
              <w:t>38</w:t>
            </w:r>
          </w:p>
        </w:tc>
        <w:tc>
          <w:tcPr>
            <w:tcW w:w="994" w:type="dxa"/>
            <w:shd w:val="clear"/>
            <w:vAlign w:val="center"/>
          </w:tcPr>
          <w:p>
            <w:pPr>
              <w:pStyle w:val="2"/>
              <w:keepNext w:val="0"/>
              <w:keepLines w:val="0"/>
              <w:widowControl/>
              <w:suppressLineNumbers w:val="0"/>
            </w:pPr>
            <w:r>
              <w:t>90</w:t>
            </w:r>
          </w:p>
        </w:tc>
        <w:tc>
          <w:tcPr>
            <w:tcW w:w="990" w:type="dxa"/>
            <w:shd w:val="clear"/>
            <w:vAlign w:val="center"/>
          </w:tcPr>
          <w:p>
            <w:pPr>
              <w:pStyle w:val="2"/>
              <w:keepNext w:val="0"/>
              <w:keepLines w:val="0"/>
              <w:widowControl/>
              <w:suppressLineNumbers w:val="0"/>
            </w:pPr>
            <w:r>
              <w:t>90</w:t>
            </w:r>
          </w:p>
        </w:tc>
        <w:tc>
          <w:tcPr>
            <w:tcW w:w="982" w:type="dxa"/>
            <w:shd w:val="clear"/>
            <w:vAlign w:val="center"/>
          </w:tcPr>
          <w:p>
            <w:pPr>
              <w:pStyle w:val="2"/>
              <w:keepNext w:val="0"/>
              <w:keepLines w:val="0"/>
              <w:widowControl/>
              <w:suppressLineNumbers w:val="0"/>
            </w:pPr>
            <w:r>
              <w:t>347</w:t>
            </w:r>
          </w:p>
        </w:tc>
        <w:tc>
          <w:tcPr>
            <w:tcW w:w="1280" w:type="dxa"/>
            <w:vMerge w:val="continue"/>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72" w:hRule="atLeast"/>
          <w:tblCellSpacing w:w="15" w:type="dxa"/>
        </w:trPr>
        <w:tc>
          <w:tcPr>
            <w:tcW w:w="3062" w:type="dxa"/>
            <w:shd w:val="clear"/>
            <w:vAlign w:val="center"/>
          </w:tcPr>
          <w:p>
            <w:pPr>
              <w:pStyle w:val="2"/>
              <w:keepNext w:val="0"/>
              <w:keepLines w:val="0"/>
              <w:widowControl/>
              <w:suppressLineNumbers w:val="0"/>
            </w:pPr>
            <w:r>
              <w:t>艺术学理论（130100）</w:t>
            </w:r>
          </w:p>
        </w:tc>
        <w:tc>
          <w:tcPr>
            <w:tcW w:w="705" w:type="dxa"/>
            <w:shd w:val="clear"/>
            <w:vAlign w:val="center"/>
          </w:tcPr>
          <w:p>
            <w:pPr>
              <w:pStyle w:val="2"/>
              <w:keepNext w:val="0"/>
              <w:keepLines w:val="0"/>
              <w:widowControl/>
              <w:suppressLineNumbers w:val="0"/>
            </w:pPr>
            <w:r>
              <w:t>38</w:t>
            </w:r>
          </w:p>
        </w:tc>
        <w:tc>
          <w:tcPr>
            <w:tcW w:w="705" w:type="dxa"/>
            <w:shd w:val="clear"/>
            <w:vAlign w:val="center"/>
          </w:tcPr>
          <w:p>
            <w:pPr>
              <w:pStyle w:val="2"/>
              <w:keepNext w:val="0"/>
              <w:keepLines w:val="0"/>
              <w:widowControl/>
              <w:suppressLineNumbers w:val="0"/>
            </w:pPr>
            <w:r>
              <w:t>38</w:t>
            </w:r>
          </w:p>
        </w:tc>
        <w:tc>
          <w:tcPr>
            <w:tcW w:w="994" w:type="dxa"/>
            <w:shd w:val="clear"/>
            <w:vAlign w:val="center"/>
          </w:tcPr>
          <w:p>
            <w:pPr>
              <w:pStyle w:val="2"/>
              <w:keepNext w:val="0"/>
              <w:keepLines w:val="0"/>
              <w:widowControl/>
              <w:suppressLineNumbers w:val="0"/>
            </w:pPr>
            <w:r>
              <w:t>90</w:t>
            </w:r>
          </w:p>
        </w:tc>
        <w:tc>
          <w:tcPr>
            <w:tcW w:w="990" w:type="dxa"/>
            <w:shd w:val="clear"/>
            <w:vAlign w:val="center"/>
          </w:tcPr>
          <w:p>
            <w:pPr>
              <w:pStyle w:val="2"/>
              <w:keepNext w:val="0"/>
              <w:keepLines w:val="0"/>
              <w:widowControl/>
              <w:suppressLineNumbers w:val="0"/>
            </w:pPr>
            <w:r>
              <w:t>90</w:t>
            </w:r>
          </w:p>
        </w:tc>
        <w:tc>
          <w:tcPr>
            <w:tcW w:w="982" w:type="dxa"/>
            <w:shd w:val="clear"/>
            <w:vAlign w:val="center"/>
          </w:tcPr>
          <w:p>
            <w:pPr>
              <w:pStyle w:val="2"/>
              <w:keepNext w:val="0"/>
              <w:keepLines w:val="0"/>
              <w:widowControl/>
              <w:suppressLineNumbers w:val="0"/>
            </w:pPr>
            <w:r>
              <w:t>347</w:t>
            </w:r>
          </w:p>
        </w:tc>
        <w:tc>
          <w:tcPr>
            <w:tcW w:w="1280" w:type="dxa"/>
            <w:vMerge w:val="continue"/>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72" w:hRule="atLeast"/>
          <w:tblCellSpacing w:w="15" w:type="dxa"/>
        </w:trPr>
        <w:tc>
          <w:tcPr>
            <w:tcW w:w="3062" w:type="dxa"/>
            <w:shd w:val="clear"/>
            <w:vAlign w:val="center"/>
          </w:tcPr>
          <w:p>
            <w:pPr>
              <w:pStyle w:val="2"/>
              <w:keepNext w:val="0"/>
              <w:keepLines w:val="0"/>
              <w:widowControl/>
              <w:suppressLineNumbers w:val="0"/>
            </w:pPr>
            <w:r>
              <w:t>戏剧与影视学（130300）</w:t>
            </w:r>
          </w:p>
        </w:tc>
        <w:tc>
          <w:tcPr>
            <w:tcW w:w="705" w:type="dxa"/>
            <w:shd w:val="clear"/>
            <w:vAlign w:val="center"/>
          </w:tcPr>
          <w:p>
            <w:pPr>
              <w:pStyle w:val="2"/>
              <w:keepNext w:val="0"/>
              <w:keepLines w:val="0"/>
              <w:widowControl/>
              <w:suppressLineNumbers w:val="0"/>
            </w:pPr>
            <w:r>
              <w:t>38</w:t>
            </w:r>
          </w:p>
        </w:tc>
        <w:tc>
          <w:tcPr>
            <w:tcW w:w="705" w:type="dxa"/>
            <w:shd w:val="clear"/>
            <w:vAlign w:val="center"/>
          </w:tcPr>
          <w:p>
            <w:pPr>
              <w:pStyle w:val="2"/>
              <w:keepNext w:val="0"/>
              <w:keepLines w:val="0"/>
              <w:widowControl/>
              <w:suppressLineNumbers w:val="0"/>
            </w:pPr>
            <w:r>
              <w:t>38</w:t>
            </w:r>
          </w:p>
        </w:tc>
        <w:tc>
          <w:tcPr>
            <w:tcW w:w="994" w:type="dxa"/>
            <w:shd w:val="clear"/>
            <w:vAlign w:val="center"/>
          </w:tcPr>
          <w:p>
            <w:pPr>
              <w:pStyle w:val="2"/>
              <w:keepNext w:val="0"/>
              <w:keepLines w:val="0"/>
              <w:widowControl/>
              <w:suppressLineNumbers w:val="0"/>
            </w:pPr>
            <w:r>
              <w:t>90</w:t>
            </w:r>
          </w:p>
        </w:tc>
        <w:tc>
          <w:tcPr>
            <w:tcW w:w="990" w:type="dxa"/>
            <w:shd w:val="clear"/>
            <w:vAlign w:val="center"/>
          </w:tcPr>
          <w:p>
            <w:pPr>
              <w:pStyle w:val="2"/>
              <w:keepNext w:val="0"/>
              <w:keepLines w:val="0"/>
              <w:widowControl/>
              <w:suppressLineNumbers w:val="0"/>
            </w:pPr>
            <w:r>
              <w:t>90</w:t>
            </w:r>
          </w:p>
        </w:tc>
        <w:tc>
          <w:tcPr>
            <w:tcW w:w="982" w:type="dxa"/>
            <w:shd w:val="clear"/>
            <w:vAlign w:val="center"/>
          </w:tcPr>
          <w:p>
            <w:pPr>
              <w:pStyle w:val="2"/>
              <w:keepNext w:val="0"/>
              <w:keepLines w:val="0"/>
              <w:widowControl/>
              <w:suppressLineNumbers w:val="0"/>
            </w:pPr>
            <w:r>
              <w:t>347</w:t>
            </w:r>
          </w:p>
        </w:tc>
        <w:tc>
          <w:tcPr>
            <w:tcW w:w="1280" w:type="dxa"/>
            <w:vMerge w:val="continue"/>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72" w:hRule="atLeast"/>
          <w:tblCellSpacing w:w="15" w:type="dxa"/>
        </w:trPr>
        <w:tc>
          <w:tcPr>
            <w:tcW w:w="3062" w:type="dxa"/>
            <w:shd w:val="clear"/>
            <w:vAlign w:val="center"/>
          </w:tcPr>
          <w:p>
            <w:pPr>
              <w:pStyle w:val="2"/>
              <w:keepNext w:val="0"/>
              <w:keepLines w:val="0"/>
              <w:widowControl/>
              <w:suppressLineNumbers w:val="0"/>
            </w:pPr>
            <w:r>
              <w:t>建筑学（081300）</w:t>
            </w:r>
          </w:p>
        </w:tc>
        <w:tc>
          <w:tcPr>
            <w:tcW w:w="705" w:type="dxa"/>
            <w:shd w:val="clear"/>
            <w:vAlign w:val="center"/>
          </w:tcPr>
          <w:p>
            <w:pPr>
              <w:pStyle w:val="2"/>
              <w:keepNext w:val="0"/>
              <w:keepLines w:val="0"/>
              <w:widowControl/>
              <w:suppressLineNumbers w:val="0"/>
            </w:pPr>
            <w:r>
              <w:t>37</w:t>
            </w:r>
          </w:p>
        </w:tc>
        <w:tc>
          <w:tcPr>
            <w:tcW w:w="705" w:type="dxa"/>
            <w:shd w:val="clear"/>
            <w:vAlign w:val="center"/>
          </w:tcPr>
          <w:p>
            <w:pPr>
              <w:pStyle w:val="2"/>
              <w:keepNext w:val="0"/>
              <w:keepLines w:val="0"/>
              <w:widowControl/>
              <w:suppressLineNumbers w:val="0"/>
            </w:pPr>
            <w:r>
              <w:t>37</w:t>
            </w:r>
          </w:p>
        </w:tc>
        <w:tc>
          <w:tcPr>
            <w:tcW w:w="994" w:type="dxa"/>
            <w:shd w:val="clear"/>
            <w:vAlign w:val="center"/>
          </w:tcPr>
          <w:p>
            <w:pPr>
              <w:pStyle w:val="2"/>
              <w:keepNext w:val="0"/>
              <w:keepLines w:val="0"/>
              <w:widowControl/>
              <w:suppressLineNumbers w:val="0"/>
            </w:pPr>
            <w:r>
              <w:t>90</w:t>
            </w:r>
          </w:p>
        </w:tc>
        <w:tc>
          <w:tcPr>
            <w:tcW w:w="990" w:type="dxa"/>
            <w:shd w:val="clear"/>
            <w:vAlign w:val="center"/>
          </w:tcPr>
          <w:p>
            <w:pPr>
              <w:pStyle w:val="2"/>
              <w:keepNext w:val="0"/>
              <w:keepLines w:val="0"/>
              <w:widowControl/>
              <w:suppressLineNumbers w:val="0"/>
            </w:pPr>
            <w:r>
              <w:t>90</w:t>
            </w:r>
          </w:p>
        </w:tc>
        <w:tc>
          <w:tcPr>
            <w:tcW w:w="982" w:type="dxa"/>
            <w:shd w:val="clear"/>
            <w:vAlign w:val="center"/>
          </w:tcPr>
          <w:p>
            <w:pPr>
              <w:pStyle w:val="2"/>
              <w:keepNext w:val="0"/>
              <w:keepLines w:val="0"/>
              <w:widowControl/>
              <w:suppressLineNumbers w:val="0"/>
            </w:pPr>
            <w:r>
              <w:t>264</w:t>
            </w:r>
          </w:p>
        </w:tc>
        <w:tc>
          <w:tcPr>
            <w:tcW w:w="1280" w:type="dxa"/>
            <w:vMerge w:val="continue"/>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72" w:hRule="atLeast"/>
          <w:tblCellSpacing w:w="15" w:type="dxa"/>
        </w:trPr>
        <w:tc>
          <w:tcPr>
            <w:tcW w:w="3062" w:type="dxa"/>
            <w:shd w:val="clear"/>
            <w:vAlign w:val="center"/>
          </w:tcPr>
          <w:p>
            <w:pPr>
              <w:pStyle w:val="2"/>
              <w:keepNext w:val="0"/>
              <w:keepLines w:val="0"/>
              <w:widowControl/>
              <w:suppressLineNumbers w:val="0"/>
            </w:pPr>
            <w:r>
              <w:t>美术（135107）</w:t>
            </w:r>
          </w:p>
        </w:tc>
        <w:tc>
          <w:tcPr>
            <w:tcW w:w="705" w:type="dxa"/>
            <w:shd w:val="clear"/>
            <w:vAlign w:val="center"/>
          </w:tcPr>
          <w:p>
            <w:pPr>
              <w:pStyle w:val="2"/>
              <w:keepNext w:val="0"/>
              <w:keepLines w:val="0"/>
              <w:widowControl/>
              <w:suppressLineNumbers w:val="0"/>
            </w:pPr>
            <w:r>
              <w:t>38</w:t>
            </w:r>
          </w:p>
        </w:tc>
        <w:tc>
          <w:tcPr>
            <w:tcW w:w="705" w:type="dxa"/>
            <w:shd w:val="clear"/>
            <w:vAlign w:val="center"/>
          </w:tcPr>
          <w:p>
            <w:pPr>
              <w:pStyle w:val="2"/>
              <w:keepNext w:val="0"/>
              <w:keepLines w:val="0"/>
              <w:widowControl/>
              <w:suppressLineNumbers w:val="0"/>
            </w:pPr>
            <w:r>
              <w:t>38</w:t>
            </w:r>
          </w:p>
        </w:tc>
        <w:tc>
          <w:tcPr>
            <w:tcW w:w="994" w:type="dxa"/>
            <w:shd w:val="clear"/>
            <w:vAlign w:val="center"/>
          </w:tcPr>
          <w:p>
            <w:pPr>
              <w:pStyle w:val="2"/>
              <w:keepNext w:val="0"/>
              <w:keepLines w:val="0"/>
              <w:widowControl/>
              <w:suppressLineNumbers w:val="0"/>
            </w:pPr>
            <w:r>
              <w:t>90</w:t>
            </w:r>
          </w:p>
        </w:tc>
        <w:tc>
          <w:tcPr>
            <w:tcW w:w="990" w:type="dxa"/>
            <w:shd w:val="clear"/>
            <w:vAlign w:val="center"/>
          </w:tcPr>
          <w:p>
            <w:pPr>
              <w:pStyle w:val="2"/>
              <w:keepNext w:val="0"/>
              <w:keepLines w:val="0"/>
              <w:widowControl/>
              <w:suppressLineNumbers w:val="0"/>
            </w:pPr>
            <w:r>
              <w:t>90</w:t>
            </w:r>
          </w:p>
        </w:tc>
        <w:tc>
          <w:tcPr>
            <w:tcW w:w="982" w:type="dxa"/>
            <w:shd w:val="clear"/>
            <w:vAlign w:val="center"/>
          </w:tcPr>
          <w:p>
            <w:pPr>
              <w:pStyle w:val="2"/>
              <w:keepNext w:val="0"/>
              <w:keepLines w:val="0"/>
              <w:widowControl/>
              <w:suppressLineNumbers w:val="0"/>
            </w:pPr>
            <w:r>
              <w:t>347</w:t>
            </w:r>
          </w:p>
        </w:tc>
        <w:tc>
          <w:tcPr>
            <w:tcW w:w="1280" w:type="dxa"/>
            <w:vMerge w:val="continue"/>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72" w:hRule="atLeast"/>
          <w:tblCellSpacing w:w="15" w:type="dxa"/>
        </w:trPr>
        <w:tc>
          <w:tcPr>
            <w:tcW w:w="3062" w:type="dxa"/>
            <w:shd w:val="clear"/>
            <w:vAlign w:val="center"/>
          </w:tcPr>
          <w:p>
            <w:pPr>
              <w:pStyle w:val="2"/>
              <w:keepNext w:val="0"/>
              <w:keepLines w:val="0"/>
              <w:widowControl/>
              <w:suppressLineNumbers w:val="0"/>
            </w:pPr>
            <w:r>
              <w:t>艺术设计（135108）</w:t>
            </w:r>
          </w:p>
        </w:tc>
        <w:tc>
          <w:tcPr>
            <w:tcW w:w="705" w:type="dxa"/>
            <w:shd w:val="clear"/>
            <w:vAlign w:val="center"/>
          </w:tcPr>
          <w:p>
            <w:pPr>
              <w:pStyle w:val="2"/>
              <w:keepNext w:val="0"/>
              <w:keepLines w:val="0"/>
              <w:widowControl/>
              <w:suppressLineNumbers w:val="0"/>
            </w:pPr>
            <w:r>
              <w:t>38</w:t>
            </w:r>
          </w:p>
        </w:tc>
        <w:tc>
          <w:tcPr>
            <w:tcW w:w="705" w:type="dxa"/>
            <w:shd w:val="clear"/>
            <w:vAlign w:val="center"/>
          </w:tcPr>
          <w:p>
            <w:pPr>
              <w:pStyle w:val="2"/>
              <w:keepNext w:val="0"/>
              <w:keepLines w:val="0"/>
              <w:widowControl/>
              <w:suppressLineNumbers w:val="0"/>
            </w:pPr>
            <w:r>
              <w:t>38</w:t>
            </w:r>
          </w:p>
        </w:tc>
        <w:tc>
          <w:tcPr>
            <w:tcW w:w="994" w:type="dxa"/>
            <w:shd w:val="clear"/>
            <w:vAlign w:val="center"/>
          </w:tcPr>
          <w:p>
            <w:pPr>
              <w:pStyle w:val="2"/>
              <w:keepNext w:val="0"/>
              <w:keepLines w:val="0"/>
              <w:widowControl/>
              <w:suppressLineNumbers w:val="0"/>
            </w:pPr>
            <w:r>
              <w:t>90</w:t>
            </w:r>
          </w:p>
        </w:tc>
        <w:tc>
          <w:tcPr>
            <w:tcW w:w="990" w:type="dxa"/>
            <w:shd w:val="clear"/>
            <w:vAlign w:val="center"/>
          </w:tcPr>
          <w:p>
            <w:pPr>
              <w:pStyle w:val="2"/>
              <w:keepNext w:val="0"/>
              <w:keepLines w:val="0"/>
              <w:widowControl/>
              <w:suppressLineNumbers w:val="0"/>
            </w:pPr>
            <w:r>
              <w:t>90</w:t>
            </w:r>
          </w:p>
        </w:tc>
        <w:tc>
          <w:tcPr>
            <w:tcW w:w="982" w:type="dxa"/>
            <w:shd w:val="clear"/>
            <w:vAlign w:val="center"/>
          </w:tcPr>
          <w:p>
            <w:pPr>
              <w:pStyle w:val="2"/>
              <w:keepNext w:val="0"/>
              <w:keepLines w:val="0"/>
              <w:widowControl/>
              <w:suppressLineNumbers w:val="0"/>
            </w:pPr>
            <w:r>
              <w:t>347</w:t>
            </w:r>
          </w:p>
        </w:tc>
        <w:tc>
          <w:tcPr>
            <w:tcW w:w="1280" w:type="dxa"/>
            <w:vMerge w:val="continue"/>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72" w:hRule="atLeast"/>
          <w:tblCellSpacing w:w="15" w:type="dxa"/>
        </w:trPr>
        <w:tc>
          <w:tcPr>
            <w:tcW w:w="3062" w:type="dxa"/>
            <w:shd w:val="clear"/>
            <w:vAlign w:val="center"/>
          </w:tcPr>
          <w:p>
            <w:pPr>
              <w:pStyle w:val="2"/>
              <w:keepNext w:val="0"/>
              <w:keepLines w:val="0"/>
              <w:widowControl/>
              <w:suppressLineNumbers w:val="0"/>
            </w:pPr>
            <w:r>
              <w:t>文物与博物馆（065100）</w:t>
            </w:r>
          </w:p>
        </w:tc>
        <w:tc>
          <w:tcPr>
            <w:tcW w:w="705" w:type="dxa"/>
            <w:shd w:val="clear"/>
            <w:vAlign w:val="center"/>
          </w:tcPr>
          <w:p>
            <w:pPr>
              <w:pStyle w:val="2"/>
              <w:keepNext w:val="0"/>
              <w:keepLines w:val="0"/>
              <w:widowControl/>
              <w:suppressLineNumbers w:val="0"/>
            </w:pPr>
            <w:r>
              <w:t>44</w:t>
            </w:r>
          </w:p>
        </w:tc>
        <w:tc>
          <w:tcPr>
            <w:tcW w:w="705" w:type="dxa"/>
            <w:shd w:val="clear"/>
            <w:vAlign w:val="center"/>
          </w:tcPr>
          <w:p>
            <w:pPr>
              <w:pStyle w:val="2"/>
              <w:keepNext w:val="0"/>
              <w:keepLines w:val="0"/>
              <w:widowControl/>
              <w:suppressLineNumbers w:val="0"/>
            </w:pPr>
            <w:r>
              <w:t>44</w:t>
            </w:r>
          </w:p>
        </w:tc>
        <w:tc>
          <w:tcPr>
            <w:tcW w:w="994" w:type="dxa"/>
            <w:shd w:val="clear"/>
            <w:vAlign w:val="center"/>
          </w:tcPr>
          <w:p>
            <w:pPr>
              <w:pStyle w:val="2"/>
              <w:keepNext w:val="0"/>
              <w:keepLines w:val="0"/>
              <w:widowControl/>
              <w:suppressLineNumbers w:val="0"/>
            </w:pPr>
            <w:r>
              <w:t>132</w:t>
            </w:r>
          </w:p>
        </w:tc>
        <w:tc>
          <w:tcPr>
            <w:tcW w:w="990" w:type="dxa"/>
            <w:shd w:val="clear"/>
            <w:vAlign w:val="center"/>
          </w:tcPr>
          <w:p>
            <w:pPr>
              <w:pStyle w:val="2"/>
              <w:keepNext w:val="0"/>
              <w:keepLines w:val="0"/>
              <w:widowControl/>
              <w:suppressLineNumbers w:val="0"/>
            </w:pPr>
            <w:r>
              <w:t>/</w:t>
            </w:r>
          </w:p>
        </w:tc>
        <w:tc>
          <w:tcPr>
            <w:tcW w:w="982" w:type="dxa"/>
            <w:shd w:val="clear"/>
            <w:vAlign w:val="center"/>
          </w:tcPr>
          <w:p>
            <w:pPr>
              <w:pStyle w:val="2"/>
              <w:keepNext w:val="0"/>
              <w:keepLines w:val="0"/>
              <w:widowControl/>
              <w:suppressLineNumbers w:val="0"/>
            </w:pPr>
            <w:r>
              <w:t>324</w:t>
            </w:r>
          </w:p>
        </w:tc>
        <w:tc>
          <w:tcPr>
            <w:tcW w:w="1280" w:type="dxa"/>
            <w:vMerge w:val="continue"/>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72" w:hRule="atLeast"/>
          <w:tblCellSpacing w:w="15" w:type="dxa"/>
        </w:trPr>
        <w:tc>
          <w:tcPr>
            <w:tcW w:w="3062" w:type="dxa"/>
            <w:shd w:val="clear"/>
            <w:vAlign w:val="center"/>
          </w:tcPr>
          <w:p>
            <w:pPr>
              <w:pStyle w:val="2"/>
              <w:keepNext w:val="0"/>
              <w:keepLines w:val="0"/>
              <w:widowControl/>
              <w:suppressLineNumbers w:val="0"/>
            </w:pPr>
            <w:r>
              <w:t>风景园林（095300）</w:t>
            </w:r>
          </w:p>
        </w:tc>
        <w:tc>
          <w:tcPr>
            <w:tcW w:w="705" w:type="dxa"/>
            <w:shd w:val="clear"/>
            <w:vAlign w:val="center"/>
          </w:tcPr>
          <w:p>
            <w:pPr>
              <w:pStyle w:val="2"/>
              <w:keepNext w:val="0"/>
              <w:keepLines w:val="0"/>
              <w:widowControl/>
              <w:suppressLineNumbers w:val="0"/>
            </w:pPr>
            <w:r>
              <w:t>33</w:t>
            </w:r>
          </w:p>
        </w:tc>
        <w:tc>
          <w:tcPr>
            <w:tcW w:w="705" w:type="dxa"/>
            <w:shd w:val="clear"/>
            <w:vAlign w:val="center"/>
          </w:tcPr>
          <w:p>
            <w:pPr>
              <w:pStyle w:val="2"/>
              <w:keepNext w:val="0"/>
              <w:keepLines w:val="0"/>
              <w:widowControl/>
              <w:suppressLineNumbers w:val="0"/>
            </w:pPr>
            <w:r>
              <w:t>33</w:t>
            </w:r>
          </w:p>
        </w:tc>
        <w:tc>
          <w:tcPr>
            <w:tcW w:w="994" w:type="dxa"/>
            <w:shd w:val="clear"/>
            <w:vAlign w:val="center"/>
          </w:tcPr>
          <w:p>
            <w:pPr>
              <w:pStyle w:val="2"/>
              <w:keepNext w:val="0"/>
              <w:keepLines w:val="0"/>
              <w:widowControl/>
              <w:suppressLineNumbers w:val="0"/>
            </w:pPr>
            <w:r>
              <w:t>90</w:t>
            </w:r>
          </w:p>
        </w:tc>
        <w:tc>
          <w:tcPr>
            <w:tcW w:w="990" w:type="dxa"/>
            <w:shd w:val="clear"/>
            <w:vAlign w:val="center"/>
          </w:tcPr>
          <w:p>
            <w:pPr>
              <w:pStyle w:val="2"/>
              <w:keepNext w:val="0"/>
              <w:keepLines w:val="0"/>
              <w:widowControl/>
              <w:suppressLineNumbers w:val="0"/>
            </w:pPr>
            <w:r>
              <w:t>90</w:t>
            </w:r>
          </w:p>
        </w:tc>
        <w:tc>
          <w:tcPr>
            <w:tcW w:w="982" w:type="dxa"/>
            <w:shd w:val="clear"/>
            <w:vAlign w:val="center"/>
          </w:tcPr>
          <w:p>
            <w:pPr>
              <w:pStyle w:val="2"/>
              <w:keepNext w:val="0"/>
              <w:keepLines w:val="0"/>
              <w:widowControl/>
              <w:suppressLineNumbers w:val="0"/>
            </w:pPr>
            <w:r>
              <w:t>253</w:t>
            </w:r>
          </w:p>
        </w:tc>
        <w:tc>
          <w:tcPr>
            <w:tcW w:w="1280" w:type="dxa"/>
            <w:vMerge w:val="continue"/>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351" w:hRule="atLeast"/>
          <w:tblCellSpacing w:w="15" w:type="dxa"/>
        </w:trPr>
        <w:tc>
          <w:tcPr>
            <w:tcW w:w="3062" w:type="dxa"/>
            <w:shd w:val="clear"/>
            <w:vAlign w:val="center"/>
          </w:tcPr>
          <w:p>
            <w:pPr>
              <w:pStyle w:val="2"/>
              <w:keepNext w:val="0"/>
              <w:keepLines w:val="0"/>
              <w:widowControl/>
              <w:suppressLineNumbers w:val="0"/>
            </w:pPr>
            <w:r>
              <w:t>电影（135104）</w:t>
            </w:r>
          </w:p>
        </w:tc>
        <w:tc>
          <w:tcPr>
            <w:tcW w:w="705" w:type="dxa"/>
            <w:shd w:val="clear"/>
            <w:vAlign w:val="center"/>
          </w:tcPr>
          <w:p>
            <w:pPr>
              <w:pStyle w:val="2"/>
              <w:keepNext w:val="0"/>
              <w:keepLines w:val="0"/>
              <w:widowControl/>
              <w:suppressLineNumbers w:val="0"/>
            </w:pPr>
            <w:r>
              <w:t>38</w:t>
            </w:r>
          </w:p>
        </w:tc>
        <w:tc>
          <w:tcPr>
            <w:tcW w:w="705" w:type="dxa"/>
            <w:shd w:val="clear"/>
            <w:vAlign w:val="center"/>
          </w:tcPr>
          <w:p>
            <w:pPr>
              <w:pStyle w:val="2"/>
              <w:keepNext w:val="0"/>
              <w:keepLines w:val="0"/>
              <w:widowControl/>
              <w:suppressLineNumbers w:val="0"/>
            </w:pPr>
            <w:r>
              <w:t>38</w:t>
            </w:r>
          </w:p>
        </w:tc>
        <w:tc>
          <w:tcPr>
            <w:tcW w:w="994" w:type="dxa"/>
            <w:shd w:val="clear"/>
            <w:vAlign w:val="center"/>
          </w:tcPr>
          <w:p>
            <w:pPr>
              <w:pStyle w:val="2"/>
              <w:keepNext w:val="0"/>
              <w:keepLines w:val="0"/>
              <w:widowControl/>
              <w:suppressLineNumbers w:val="0"/>
            </w:pPr>
            <w:r>
              <w:t>90</w:t>
            </w:r>
          </w:p>
        </w:tc>
        <w:tc>
          <w:tcPr>
            <w:tcW w:w="990" w:type="dxa"/>
            <w:shd w:val="clear"/>
            <w:vAlign w:val="center"/>
          </w:tcPr>
          <w:p>
            <w:pPr>
              <w:pStyle w:val="2"/>
              <w:keepNext w:val="0"/>
              <w:keepLines w:val="0"/>
              <w:widowControl/>
              <w:suppressLineNumbers w:val="0"/>
            </w:pPr>
            <w:r>
              <w:t>90</w:t>
            </w:r>
          </w:p>
        </w:tc>
        <w:tc>
          <w:tcPr>
            <w:tcW w:w="982" w:type="dxa"/>
            <w:shd w:val="clear"/>
            <w:vAlign w:val="center"/>
          </w:tcPr>
          <w:p>
            <w:pPr>
              <w:pStyle w:val="2"/>
              <w:keepNext w:val="0"/>
              <w:keepLines w:val="0"/>
              <w:widowControl/>
              <w:suppressLineNumbers w:val="0"/>
            </w:pPr>
            <w:r>
              <w:t>347</w:t>
            </w:r>
          </w:p>
        </w:tc>
        <w:tc>
          <w:tcPr>
            <w:tcW w:w="1280" w:type="dxa"/>
            <w:vMerge w:val="continue"/>
            <w:shd w:val="clear"/>
            <w:vAlign w:val="center"/>
          </w:tcPr>
          <w:p>
            <w:pPr>
              <w:rPr>
                <w:rFonts w:hint="eastAsia" w:ascii="宋体"/>
                <w:sz w:val="24"/>
                <w:szCs w:val="24"/>
              </w:rPr>
            </w:pPr>
          </w:p>
        </w:tc>
      </w:tr>
    </w:tbl>
    <w:p>
      <w:pPr>
        <w:pStyle w:val="2"/>
        <w:keepNext w:val="0"/>
        <w:keepLines w:val="0"/>
        <w:widowControl/>
        <w:suppressLineNumbers w:val="0"/>
      </w:pPr>
      <w:r>
        <w:t>    注：①报考退役士兵专项计划复试须满足以下条件：业务课单科90分（含）以上，同时初试成绩总分318分（含）以上；对符合基本要求的考生初试成绩总分从高到低排序，所有专业打通按照拟招生计划数（共5个）的1:2确定复试名单。</w:t>
      </w:r>
    </w:p>
    <w:p>
      <w:pPr>
        <w:pStyle w:val="2"/>
        <w:keepNext w:val="0"/>
        <w:keepLines w:val="0"/>
        <w:widowControl/>
        <w:suppressLineNumbers w:val="0"/>
      </w:pPr>
      <w:r>
        <w:t>②报考港、澳、台硕士研究生复试须满足以下条件：外语单科38分（含）以上，同时业务单科90分（含）以上；对符合基本要求的考生直接确定复试名单。</w:t>
      </w:r>
    </w:p>
    <w:p>
      <w:pPr>
        <w:pStyle w:val="2"/>
        <w:keepNext w:val="0"/>
        <w:keepLines w:val="0"/>
        <w:widowControl/>
        <w:suppressLineNumbers w:val="0"/>
      </w:pPr>
      <w:r>
        <w:t>    2、复试比例：复试采取差额形式，对符合复试基本要求的考生根据各研究方向初试成绩总分从高到低排序，按各研究方向招生计划1：2比例确定复试名单；如遇末位同分者，则均可参加复试。退役士兵专项计划单列。</w:t>
      </w:r>
    </w:p>
    <w:p>
      <w:pPr>
        <w:pStyle w:val="2"/>
        <w:keepNext w:val="0"/>
        <w:keepLines w:val="0"/>
        <w:widowControl/>
        <w:suppressLineNumbers w:val="0"/>
      </w:pPr>
      <w:r>
        <w:t>    （二）复试方式</w:t>
      </w:r>
    </w:p>
    <w:p>
      <w:pPr>
        <w:pStyle w:val="2"/>
        <w:keepNext w:val="0"/>
        <w:keepLines w:val="0"/>
        <w:widowControl/>
        <w:suppressLineNumbers w:val="0"/>
      </w:pPr>
      <w:r>
        <w:t>    2020年硕士研究生复试所有专业均采取网络远程复试+提交命题（创作）作品方式。具体要求详见《中国美术学院2020年硕士研究生复试考生须知》（另行公布）</w:t>
      </w:r>
    </w:p>
    <w:p>
      <w:pPr>
        <w:pStyle w:val="2"/>
        <w:keepNext w:val="0"/>
        <w:keepLines w:val="0"/>
        <w:widowControl/>
        <w:suppressLineNumbers w:val="0"/>
      </w:pPr>
      <w:r>
        <w:t>    （三）复试科目与分值</w:t>
      </w:r>
    </w:p>
    <w:p>
      <w:pPr>
        <w:pStyle w:val="2"/>
        <w:keepNext w:val="0"/>
        <w:keepLines w:val="0"/>
        <w:widowControl/>
        <w:suppressLineNumbers w:val="0"/>
      </w:pPr>
      <w:r>
        <w:t>    复试成绩满分200分。</w:t>
      </w:r>
    </w:p>
    <w:p>
      <w:pPr>
        <w:pStyle w:val="2"/>
        <w:keepNext w:val="0"/>
        <w:keepLines w:val="0"/>
        <w:widowControl/>
        <w:suppressLineNumbers w:val="0"/>
      </w:pPr>
      <w:r>
        <w:t>    复试科目分为外语口语测试（20分）、综合面试（100分）和提交命题（创作）作品（80分）三部分。其中：外语口语测试、综合面试为网络远程复试。</w:t>
      </w:r>
    </w:p>
    <w:p>
      <w:pPr>
        <w:pStyle w:val="2"/>
        <w:keepNext w:val="0"/>
        <w:keepLines w:val="0"/>
        <w:widowControl/>
        <w:suppressLineNumbers w:val="0"/>
      </w:pPr>
      <w:r>
        <w:t>    同等学力者须加试美术理论知识和写作二门课程，各100分（采用综合性、开放性的能力型试题进行网络远程加试）。</w:t>
      </w:r>
    </w:p>
    <w:p>
      <w:pPr>
        <w:pStyle w:val="2"/>
        <w:keepNext w:val="0"/>
        <w:keepLines w:val="0"/>
        <w:widowControl/>
        <w:suppressLineNumbers w:val="0"/>
      </w:pPr>
      <w:r>
        <w:t>    （四）复试日程、复试科目测试时间与地点</w:t>
      </w:r>
    </w:p>
    <w:p>
      <w:pPr>
        <w:pStyle w:val="2"/>
        <w:keepNext w:val="0"/>
        <w:keepLines w:val="0"/>
        <w:widowControl/>
        <w:suppressLineNumbers w:val="0"/>
      </w:pPr>
      <w:r>
        <w:t>    1、网上报到：2020年5月5日—7日下午16：30截止，逾期视为自动放弃。网上报到地址：</w:t>
      </w:r>
      <w:r>
        <w:fldChar w:fldCharType="begin"/>
      </w:r>
      <w:r>
        <w:instrText xml:space="preserve"> HYPERLINK "http://yjszs.caa.edu.cn/%23/student/login" </w:instrText>
      </w:r>
      <w:r>
        <w:fldChar w:fldCharType="separate"/>
      </w:r>
      <w:r>
        <w:rPr>
          <w:rStyle w:val="6"/>
        </w:rPr>
        <w:t>http://yjszs.caa.edu.cn/#/student/login</w:t>
      </w:r>
      <w:r>
        <w:fldChar w:fldCharType="end"/>
      </w:r>
    </w:p>
    <w:p>
      <w:pPr>
        <w:pStyle w:val="2"/>
        <w:keepNext w:val="0"/>
        <w:keepLines w:val="0"/>
        <w:widowControl/>
        <w:suppressLineNumbers w:val="0"/>
      </w:pPr>
      <w:r>
        <w:t>    2、复试日程安排</w:t>
      </w:r>
    </w:p>
    <w:p>
      <w:pPr>
        <w:pStyle w:val="2"/>
        <w:keepNext w:val="0"/>
        <w:keepLines w:val="0"/>
        <w:widowControl/>
        <w:suppressLineNumbers w:val="0"/>
      </w:pPr>
      <w:r>
        <w:t>    命题（创作）作品：2020年5月8日 ，</w:t>
      </w:r>
    </w:p>
    <w:p>
      <w:pPr>
        <w:pStyle w:val="2"/>
        <w:keepNext w:val="0"/>
        <w:keepLines w:val="0"/>
        <w:widowControl/>
        <w:suppressLineNumbers w:val="0"/>
      </w:pPr>
      <w:r>
        <w:t>    外语口语测试：2020年5月15日，</w:t>
      </w:r>
    </w:p>
    <w:p>
      <w:pPr>
        <w:pStyle w:val="2"/>
        <w:keepNext w:val="0"/>
        <w:keepLines w:val="0"/>
        <w:widowControl/>
        <w:suppressLineNumbers w:val="0"/>
      </w:pPr>
      <w:r>
        <w:t>    综合面试：2020年5月16日—17日，</w:t>
      </w:r>
    </w:p>
    <w:p>
      <w:pPr>
        <w:pStyle w:val="2"/>
        <w:keepNext w:val="0"/>
        <w:keepLines w:val="0"/>
        <w:widowControl/>
        <w:suppressLineNumbers w:val="0"/>
      </w:pPr>
      <w:r>
        <w:t>    同等学力加试：2020年5月18日。</w:t>
      </w:r>
    </w:p>
    <w:p>
      <w:pPr>
        <w:pStyle w:val="2"/>
        <w:keepNext w:val="0"/>
        <w:keepLines w:val="0"/>
        <w:widowControl/>
        <w:suppressLineNumbers w:val="0"/>
      </w:pPr>
      <w:r>
        <w:t>   3、复试科目测试时间：外语口语测试时间5分钟左右；综合面试时间每生20分钟左右；同等学力者加试两门科目，每门1小时。</w:t>
      </w:r>
    </w:p>
    <w:p>
      <w:pPr>
        <w:pStyle w:val="2"/>
        <w:keepNext w:val="0"/>
        <w:keepLines w:val="0"/>
        <w:widowControl/>
        <w:suppressLineNumbers w:val="0"/>
      </w:pPr>
      <w:r>
        <w:t>   4、复试地点：考生所在的网络远程地。</w:t>
      </w:r>
    </w:p>
    <w:p>
      <w:pPr>
        <w:pStyle w:val="2"/>
        <w:keepNext w:val="0"/>
        <w:keepLines w:val="0"/>
        <w:widowControl/>
        <w:suppressLineNumbers w:val="0"/>
      </w:pPr>
      <w:r>
        <w:t> </w:t>
      </w:r>
    </w:p>
    <w:p>
      <w:pPr>
        <w:pStyle w:val="2"/>
        <w:keepNext w:val="0"/>
        <w:keepLines w:val="0"/>
        <w:widowControl/>
        <w:suppressLineNumbers w:val="0"/>
      </w:pPr>
      <w:r>
        <w:t>    二、录取实施细则</w:t>
      </w:r>
    </w:p>
    <w:p>
      <w:pPr>
        <w:pStyle w:val="2"/>
        <w:keepNext w:val="0"/>
        <w:keepLines w:val="0"/>
        <w:widowControl/>
        <w:suppressLineNumbers w:val="0"/>
      </w:pPr>
      <w:r>
        <w:t>     根据教育部下达的招生计划，按照考生入学考试成绩（含初试和复试）、综合素质（含既往学业、一贯表现、科研能力等）、思想政治表现和身体健康状况，择优录取。坚持立德树人，思想品德考核不合格者不予录取。</w:t>
      </w:r>
    </w:p>
    <w:p>
      <w:pPr>
        <w:pStyle w:val="2"/>
        <w:keepNext w:val="0"/>
        <w:keepLines w:val="0"/>
        <w:widowControl/>
        <w:suppressLineNumbers w:val="0"/>
      </w:pPr>
      <w:r>
        <w:t>    （一）招生计划：按照教育部2020年下达的拟招生计划数执行。招生总规模691名（含退伍士兵专项计划5人、已拟录取推免生77人），分别为：全日制学术型242名，全日制专业学位型359名，非全日制专业学位型90名。</w:t>
      </w:r>
    </w:p>
    <w:p>
      <w:pPr>
        <w:pStyle w:val="2"/>
        <w:keepNext w:val="0"/>
        <w:keepLines w:val="0"/>
        <w:widowControl/>
        <w:suppressLineNumbers w:val="0"/>
      </w:pPr>
      <w:r>
        <w:t>    （二）复试总成绩要求：参加复试的考生复试总成绩在120分以上（含120分）才能参加综合分排名。  【同等学力者二门加试成绩不计入综合分，但均需达60分以上（含60分）】</w:t>
      </w:r>
    </w:p>
    <w:p>
      <w:pPr>
        <w:pStyle w:val="2"/>
        <w:keepNext w:val="0"/>
        <w:keepLines w:val="0"/>
        <w:widowControl/>
        <w:suppressLineNumbers w:val="0"/>
      </w:pPr>
      <w:r>
        <w:t>    （三）根据各研究方向，分别进行综合分排名，按照招生计划数，择优录取。</w:t>
      </w:r>
    </w:p>
    <w:p>
      <w:pPr>
        <w:pStyle w:val="2"/>
        <w:keepNext w:val="0"/>
        <w:keepLines w:val="0"/>
        <w:widowControl/>
        <w:suppressLineNumbers w:val="0"/>
      </w:pPr>
      <w:r>
        <w:t>    综合分折算公式：　　</w:t>
      </w:r>
    </w:p>
    <w:p>
      <w:pPr>
        <w:pStyle w:val="2"/>
        <w:keepNext w:val="0"/>
        <w:keepLines w:val="0"/>
        <w:widowControl/>
        <w:suppressLineNumbers w:val="0"/>
      </w:pPr>
      <w:r>
        <w:t>    综合分＝初试总成绩÷500×50＋复试总成绩÷200×50　</w:t>
      </w:r>
    </w:p>
    <w:p>
      <w:pPr>
        <w:pStyle w:val="2"/>
        <w:keepNext w:val="0"/>
        <w:keepLines w:val="0"/>
        <w:widowControl/>
        <w:suppressLineNumbers w:val="0"/>
      </w:pPr>
      <w:r>
        <w:t>    （四）全日制学术型、专业学位型研究生，及非全日制专业学位型研究生原则上以初试报名确定的身份录取，学校招生委员会可以根据学科发展需要及生源情况等按照有关规定作适当调整。　</w:t>
      </w:r>
    </w:p>
    <w:p>
      <w:pPr>
        <w:pStyle w:val="2"/>
        <w:keepNext w:val="0"/>
        <w:keepLines w:val="0"/>
        <w:widowControl/>
        <w:suppressLineNumbers w:val="0"/>
      </w:pPr>
      <w:r>
        <w:t>    （五）如招考研究方向在录取时出现同分，则按照初试成绩高者优先录取。</w:t>
      </w:r>
    </w:p>
    <w:p>
      <w:pPr>
        <w:pStyle w:val="2"/>
        <w:keepNext w:val="0"/>
        <w:keepLines w:val="0"/>
        <w:widowControl/>
        <w:suppressLineNumbers w:val="0"/>
      </w:pPr>
      <w:r>
        <w:t>    （六）考生报考资格审查合格，体检合格。</w:t>
      </w:r>
    </w:p>
    <w:p>
      <w:pPr>
        <w:pStyle w:val="2"/>
        <w:keepNext w:val="0"/>
        <w:keepLines w:val="0"/>
        <w:widowControl/>
        <w:suppressLineNumbers w:val="0"/>
      </w:pPr>
      <w:r>
        <w:t>    （七）按照《普通高等学校学生管理规定》有关要求，入学后3个月内，学校对所有新生进行全面复查。复查不合格的，取消学籍；情节严重的，移交有关部门调查处理。</w:t>
      </w:r>
    </w:p>
    <w:p>
      <w:pPr>
        <w:pStyle w:val="2"/>
        <w:keepNext w:val="0"/>
        <w:keepLines w:val="0"/>
        <w:widowControl/>
        <w:suppressLineNumbers w:val="0"/>
      </w:pPr>
      <w:r>
        <w:t> </w:t>
      </w:r>
    </w:p>
    <w:p>
      <w:pPr>
        <w:pStyle w:val="2"/>
        <w:keepNext w:val="0"/>
        <w:keepLines w:val="0"/>
        <w:widowControl/>
        <w:suppressLineNumbers w:val="0"/>
      </w:pPr>
      <w:r>
        <w:t>    三、其他</w:t>
      </w:r>
    </w:p>
    <w:p>
      <w:pPr>
        <w:pStyle w:val="2"/>
        <w:keepNext w:val="0"/>
        <w:keepLines w:val="0"/>
        <w:widowControl/>
        <w:suppressLineNumbers w:val="0"/>
      </w:pPr>
      <w:r>
        <w:t>    （一）网络远程复试和提交命题（创作）作品具体要求另行通知。考生提交命题（创作）作品时，同时提交由本人独立完成的真实性承诺书。</w:t>
      </w:r>
    </w:p>
    <w:p>
      <w:pPr>
        <w:pStyle w:val="2"/>
        <w:keepNext w:val="0"/>
        <w:keepLines w:val="0"/>
        <w:widowControl/>
        <w:suppressLineNumbers w:val="0"/>
      </w:pPr>
      <w:r>
        <w:t>    （二）我校硕士研究生招生相关信息均发布在中国美术学院招生网上</w:t>
      </w:r>
      <w:r>
        <w:fldChar w:fldCharType="begin"/>
      </w:r>
      <w:r>
        <w:instrText xml:space="preserve"> HYPERLINK "http://zb.caa.edu.cn/" </w:instrText>
      </w:r>
      <w:r>
        <w:fldChar w:fldCharType="separate"/>
      </w:r>
      <w:r>
        <w:rPr>
          <w:rStyle w:val="6"/>
        </w:rPr>
        <w:t>http://zb.caa.edu.cn/</w:t>
      </w:r>
      <w:r>
        <w:fldChar w:fldCharType="end"/>
      </w:r>
      <w:r>
        <w:t>，请考生及时关注。本复试办法和录取实施细则解释权归中国美术学院招生办。</w:t>
      </w:r>
    </w:p>
    <w:p>
      <w:pPr>
        <w:pStyle w:val="2"/>
        <w:keepNext w:val="0"/>
        <w:keepLines w:val="0"/>
        <w:widowControl/>
        <w:suppressLineNumbers w:val="0"/>
      </w:pPr>
      <w:r>
        <w:t>　　　　　　　　　　　　　　　　　　　　　　　　　　　</w:t>
      </w:r>
    </w:p>
    <w:p>
      <w:pPr>
        <w:pStyle w:val="2"/>
        <w:keepNext w:val="0"/>
        <w:keepLines w:val="0"/>
        <w:widowControl/>
        <w:suppressLineNumbers w:val="0"/>
      </w:pPr>
      <w:r>
        <w:t>                                                                                                                               中国美术学院　</w:t>
      </w:r>
    </w:p>
    <w:p>
      <w:pPr>
        <w:pStyle w:val="2"/>
        <w:keepNext w:val="0"/>
        <w:keepLines w:val="0"/>
        <w:widowControl/>
        <w:suppressLineNumbers w:val="0"/>
      </w:pPr>
      <w:r>
        <w:t>　　                                             　                                                                         2020年5月1日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BD5AB5"/>
    <w:rsid w:val="08A12516"/>
    <w:rsid w:val="245363F7"/>
    <w:rsid w:val="266B6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2021-01-14T07:21:45Z</dcterms:created>
  <dc:creator>s1997</dc:creator>
  <cp:lastModifiedBy>Every.</cp:lastModifiedBy>
  <dcterms:modified xsi:type="dcterms:W3CDTF">2021-01-14T07:30:58Z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