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</w:pPr>
      <w:r>
        <w:t>浙江海洋大学2020年硕士研究生招生复试分数线</w:t>
      </w:r>
    </w:p>
    <w:p>
      <w:pPr>
        <w:pStyle w:val="3"/>
        <w:keepNext w:val="0"/>
        <w:keepLines w:val="0"/>
        <w:widowControl/>
        <w:suppressLineNumbers w:val="0"/>
        <w:spacing w:line="23" w:lineRule="atLeast"/>
      </w:pPr>
      <w:r>
        <w:rPr>
          <w:rFonts w:ascii="微软雅黑" w:hAnsi="微软雅黑" w:eastAsia="微软雅黑" w:cs="微软雅黑"/>
          <w:sz w:val="21"/>
          <w:szCs w:val="21"/>
        </w:rPr>
        <w:t xml:space="preserve">日期：2020年05月03日   点击： </w:t>
      </w:r>
      <w:r>
        <w:rPr>
          <w:rFonts w:hint="eastAsia" w:ascii="微软雅黑" w:hAnsi="微软雅黑" w:eastAsia="微软雅黑" w:cs="微软雅黑"/>
          <w:sz w:val="21"/>
          <w:szCs w:val="21"/>
        </w:rPr>
        <w:t>8659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sz w:val="24"/>
          <w:szCs w:val="24"/>
        </w:rPr>
      </w:pPr>
      <w:r>
        <w:rPr>
          <w:rFonts w:hint="default" w:ascii="仿宋_GB2312" w:hAnsi="Calibri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学校在教育部《</w:t>
      </w:r>
      <w:r>
        <w:rPr>
          <w:rFonts w:hint="default" w:ascii="仿宋_GB2312" w:hAnsi="Calibri" w:eastAsia="仿宋_GB2312" w:cs="宋体"/>
          <w:kern w:val="0"/>
          <w:sz w:val="32"/>
          <w:szCs w:val="32"/>
          <w:bdr w:val="none" w:color="auto" w:sz="0" w:space="0"/>
          <w:lang w:val="en-US" w:eastAsia="zh-CN" w:bidi="ar"/>
        </w:rPr>
        <w:t>2020年全国硕士研究生招生考试考生进入复试的初试成绩基本要求》基础上，综合考虑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学校各专业（领域）生源情况、招生计划、学科专业特点和复试考核工作需要等，精准划定学校各专业（领域）分数线，具体如下：</w:t>
      </w:r>
    </w:p>
    <w:tbl>
      <w:tblPr>
        <w:tblStyle w:val="4"/>
        <w:tblW w:w="8438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078"/>
        <w:gridCol w:w="994"/>
        <w:gridCol w:w="1332"/>
        <w:gridCol w:w="1463"/>
        <w:gridCol w:w="1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（满分=100分）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单科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（满分&gt;100分）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070700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海洋科学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081500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考生一志愿同为照顾专业；否则按国家工学分数线调剂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082000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石油与天然气工程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082400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同上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083200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090800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120300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045100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086100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095134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渔业发展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095135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095136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095137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095138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农村发展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105500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125400</w:t>
            </w:r>
          </w:p>
        </w:tc>
        <w:tc>
          <w:tcPr>
            <w:tcW w:w="20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3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退役士兵计划</w:t>
            </w:r>
          </w:p>
        </w:tc>
        <w:tc>
          <w:tcPr>
            <w:tcW w:w="37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考生初试成绩在相应学科门类(学科)/专业学位国家线基础上总分降50分，单科降10分。</w:t>
            </w:r>
          </w:p>
        </w:tc>
        <w:tc>
          <w:tcPr>
            <w:tcW w:w="14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备注：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我校</w:t>
      </w: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2020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Fonts w:hint="default" w:ascii="Calibri" w:hAnsi="Calibri" w:eastAsia="宋体" w:cs="Calibri"/>
          <w:kern w:val="0"/>
          <w:sz w:val="28"/>
          <w:szCs w:val="28"/>
          <w:bdr w:val="none" w:color="auto" w:sz="0" w:space="0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退役大学生士兵</w:t>
      </w:r>
      <w:r>
        <w:rPr>
          <w:rFonts w:hint="default" w:ascii="Calibri" w:hAnsi="Calibri" w:eastAsia="宋体" w:cs="Calibri"/>
          <w:kern w:val="0"/>
          <w:sz w:val="28"/>
          <w:szCs w:val="28"/>
          <w:bdr w:val="none" w:color="auto" w:sz="0" w:space="0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专项计划缺额在全日制农业管理、非全日制药学、非全日制农村发展、非全日制教育硕士，实际招生专业以最终录取为准。欢迎优秀</w:t>
      </w: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退役大学生士兵</w:t>
      </w:r>
      <w:r>
        <w:rPr>
          <w:rFonts w:hint="default" w:ascii="Calibri" w:hAnsi="Calibri" w:eastAsia="宋体" w:cs="Calibri"/>
          <w:kern w:val="0"/>
          <w:sz w:val="28"/>
          <w:szCs w:val="28"/>
          <w:bdr w:val="none" w:color="auto" w:sz="0" w:space="0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专项计划考生来我校攻读硕士研究生。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56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我校一志愿考生复试时间拟定于</w:t>
      </w: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月中旬进行，调剂考生复试时间原则上不早于</w:t>
      </w: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0"/>
          <w:sz w:val="28"/>
          <w:szCs w:val="28"/>
          <w:bdr w:val="none" w:color="auto" w:sz="0" w:space="0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rightChars="0" w:firstLine="420"/>
        <w:jc w:val="left"/>
        <w:rPr>
          <w:sz w:val="24"/>
          <w:szCs w:val="24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rightChars="0" w:firstLine="420"/>
        <w:jc w:val="left"/>
        <w:rPr>
          <w:sz w:val="24"/>
          <w:szCs w:val="24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bdr w:val="none" w:color="auto" w:sz="0" w:space="0"/>
          <w:lang w:val="en-US" w:eastAsia="zh-CN" w:bidi="ar"/>
        </w:rPr>
        <w:t xml:space="preserve">                                                                                     </w:t>
      </w:r>
      <w:r>
        <w:rPr>
          <w:rFonts w:hint="default" w:ascii="Calibri" w:hAnsi="Calibri" w:eastAsia="宋体" w:cs="Times New Roman"/>
          <w:kern w:val="0"/>
          <w:sz w:val="32"/>
          <w:szCs w:val="32"/>
          <w:bdr w:val="none" w:color="auto" w:sz="0" w:space="0"/>
          <w:lang w:val="en-US" w:eastAsia="zh-CN" w:bidi="ar"/>
        </w:rPr>
        <w:t>浙江海洋大学研究生院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sz w:val="24"/>
          <w:szCs w:val="24"/>
        </w:rPr>
      </w:pPr>
      <w:r>
        <w:rPr>
          <w:rFonts w:hint="default" w:ascii="Calibri" w:hAnsi="Calibri" w:eastAsia="宋体" w:cs="Times New Roman"/>
          <w:kern w:val="0"/>
          <w:sz w:val="32"/>
          <w:szCs w:val="32"/>
          <w:bdr w:val="none" w:color="auto" w:sz="0" w:space="0"/>
          <w:lang w:val="en-US" w:eastAsia="zh-CN" w:bidi="ar"/>
        </w:rPr>
        <w:t>       2020年</w:t>
      </w:r>
      <w:r>
        <w:rPr>
          <w:rFonts w:hint="default" w:ascii="Calibri" w:hAnsi="Calibri" w:eastAsia="宋体" w:cs="Calibri"/>
          <w:kern w:val="0"/>
          <w:sz w:val="32"/>
          <w:szCs w:val="32"/>
          <w:bdr w:val="none" w:color="auto" w:sz="0" w:space="0"/>
          <w:lang w:val="en-US" w:eastAsia="zh-CN" w:bidi="ar"/>
        </w:rPr>
        <w:t>5</w:t>
      </w:r>
      <w:r>
        <w:rPr>
          <w:rFonts w:hint="default" w:ascii="Calibri" w:hAnsi="Calibri" w:eastAsia="宋体" w:cs="Times New Roman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default" w:ascii="Calibri" w:hAnsi="Calibri" w:eastAsia="宋体" w:cs="Times New Roman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pStyle w:val="14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86016"/>
    <w:multiLevelType w:val="multilevel"/>
    <w:tmpl w:val="E458601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shd w:val="clear" w:fill="F7F7F7"/>
    </w:rPr>
  </w:style>
  <w:style w:type="character" w:styleId="9">
    <w:name w:val="Hyperlink"/>
    <w:basedOn w:val="5"/>
    <w:uiPriority w:val="0"/>
    <w:rPr>
      <w:color w:val="333333"/>
      <w:u w:val="none"/>
    </w:rPr>
  </w:style>
  <w:style w:type="character" w:customStyle="1" w:styleId="10">
    <w:name w:val="16"/>
    <w:basedOn w:val="5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1">
    <w:name w:val="10"/>
    <w:basedOn w:val="5"/>
    <w:uiPriority w:val="0"/>
    <w:rPr>
      <w:rFonts w:hint="default" w:ascii="Calibri" w:hAnsi="Calibri" w:cs="Calibri"/>
    </w:rPr>
  </w:style>
  <w:style w:type="character" w:customStyle="1" w:styleId="12">
    <w:name w:val="15"/>
    <w:basedOn w:val="5"/>
    <w:uiPriority w:val="0"/>
    <w:rPr>
      <w:rFonts w:hint="default" w:ascii="Calibri" w:hAnsi="Calibri" w:cs="Calibri"/>
      <w:color w:val="0000FF"/>
      <w:u w:val="single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2021-01-14T12:55:54Z</dcterms:created>
  <dc:creator>admin</dc:creator>
  <cp:lastModifiedBy>WPS_1608169294</cp:lastModifiedBy>
  <dcterms:modified xsi:type="dcterms:W3CDTF">2021-01-14T12:56:25Z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