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900" w:beforeAutospacing="0" w:after="900" w:afterAutospacing="0" w:line="750" w:lineRule="atLeast"/>
        <w:ind w:left="0" w:right="0"/>
        <w:jc w:val="center"/>
        <w:rPr>
          <w:color w:val="406D9B"/>
          <w:sz w:val="45"/>
          <w:szCs w:val="45"/>
        </w:rPr>
      </w:pPr>
      <w:bookmarkStart w:id="0" w:name="_GoBack"/>
      <w:r>
        <w:rPr>
          <w:color w:val="406D9B"/>
          <w:sz w:val="45"/>
          <w:szCs w:val="45"/>
          <w:shd w:val="clear" w:fill="FFFFFF"/>
        </w:rPr>
        <w:t>厦门国家会计学院2020年硕士研究生招生复试分数线及复试名单公告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225" w:beforeAutospacing="0" w:after="0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  <w:color w:val="406D9B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06D9B"/>
          <w:kern w:val="0"/>
          <w:sz w:val="21"/>
          <w:szCs w:val="21"/>
          <w:shd w:val="clear" w:fill="F5F5F5"/>
          <w:lang w:val="en-US" w:eastAsia="zh-CN" w:bidi="ar"/>
        </w:rPr>
        <w:t xml:space="preserve">发布日期：2020-04-24     编辑：研究生处           点击： 2418 </w:t>
      </w:r>
    </w:p>
    <w:p>
      <w:pPr>
        <w:pStyle w:val="3"/>
        <w:keepNext w:val="0"/>
        <w:keepLines w:val="0"/>
        <w:widowControl/>
        <w:suppressLineNumbers w:val="0"/>
        <w:spacing w:before="900" w:beforeAutospacing="0" w:after="90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在教育部公布的《2020年全国硕士研究生招生考试考生进入复试的初试成绩基本要求》的基础上，根据我院2020年招生计划数，采取1:1.4差额比例复试（生源不足1:1.4的专业，按照实际上线人数参加复试），确定各专业复试分数线如下（见表格）。我院2020年全日制会计专业硕士研究生招生计划数60人（含已招收推免生5人），全日制审计专业硕士研究生招生计划数20人，全日制税务专业硕士研究生招生计划数20人（含已招收推免生1人）。</w:t>
      </w:r>
    </w:p>
    <w:p>
      <w:pPr>
        <w:pStyle w:val="3"/>
        <w:keepNext w:val="0"/>
        <w:keepLines w:val="0"/>
        <w:widowControl/>
        <w:suppressLineNumbers w:val="0"/>
        <w:spacing w:before="1128" w:beforeAutospacing="0" w:after="1128" w:afterAutospacing="0" w:line="510" w:lineRule="atLeast"/>
        <w:ind w:left="0" w:right="0" w:firstLine="420"/>
        <w:jc w:val="left"/>
        <w:rPr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128" w:beforeAutospacing="0" w:after="1128" w:afterAutospacing="0" w:line="510" w:lineRule="atLeast"/>
        <w:ind w:left="0" w:right="0" w:firstLine="420"/>
        <w:jc w:val="left"/>
        <w:rPr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900" w:beforeAutospacing="0" w:after="900" w:afterAutospacing="0"/>
        <w:ind w:left="0" w:right="0"/>
      </w:pPr>
      <w:r>
        <w:rPr>
          <w:rFonts w:hint="eastAsia" w:ascii="微软雅黑" w:hAnsi="微软雅黑" w:eastAsia="微软雅黑" w:cs="微软雅黑"/>
          <w:bdr w:val="none" w:color="auto" w:sz="0" w:space="0"/>
          <w:shd w:val="clear" w:fill="FFFFFF"/>
        </w:rPr>
        <w:drawing>
          <wp:inline distT="0" distB="0" distL="114300" distR="114300">
            <wp:extent cx="5753100" cy="4858385"/>
            <wp:effectExtent l="0" t="0" r="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58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14942"/>
    <w:rsid w:val="561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666666"/>
      <w:u w:val="none"/>
    </w:rPr>
  </w:style>
  <w:style w:type="character" w:styleId="7">
    <w:name w:val="Hyperlink"/>
    <w:basedOn w:val="5"/>
    <w:uiPriority w:val="0"/>
    <w:rPr>
      <w:color w:val="666666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2021-01-15T03:33:00Z</dcterms:created>
  <dc:creator>海文考研梦楚</dc:creator>
  <cp:lastModifiedBy>海文考研梦楚</cp:lastModifiedBy>
  <dcterms:modified xsi:type="dcterms:W3CDTF">2021-01-15T03:34:53Z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