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4"/>
          <w:szCs w:val="24"/>
        </w:rPr>
      </w:pPr>
      <w:bookmarkStart w:id="0" w:name="_Toc525052851"/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.学生登记个人实践信息</w:t>
      </w:r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操作菜单：培养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必修环节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专业实践信息登记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操作说明</w:t>
      </w:r>
      <w:r>
        <w:rPr>
          <w:rFonts w:hint="eastAsia" w:ascii="宋体" w:hAnsi="宋体" w:eastAsia="宋体"/>
          <w:sz w:val="24"/>
          <w:szCs w:val="24"/>
        </w:rPr>
        <w:t>：可提交个人的申请信息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23164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2188845"/>
            <wp:effectExtent l="0" t="0" r="254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color w:val="FF0000"/>
          <w:lang w:eastAsia="zh-CN"/>
        </w:rPr>
      </w:pPr>
      <w:bookmarkStart w:id="1" w:name="_GoBack"/>
      <w:r>
        <w:rPr>
          <w:rFonts w:hint="eastAsia"/>
          <w:color w:val="FF0000"/>
          <w:lang w:eastAsia="zh-CN"/>
        </w:rPr>
        <w:t>注：提交后不可修改，不确定课程名称可先保存不提交，待确定最终课题名称后再提交！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3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NTKO</cp:lastModifiedBy>
  <dcterms:modified xsi:type="dcterms:W3CDTF">2018-09-19T02:16:13Z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