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仿宋" w:hAnsi="仿宋" w:eastAsia="仿宋" w:cs="仿宋"/>
          <w:b/>
          <w:bCs/>
          <w:color w:val="222121"/>
          <w:kern w:val="36"/>
          <w:sz w:val="32"/>
          <w:szCs w:val="32"/>
        </w:rPr>
      </w:pPr>
      <w:r>
        <w:rPr>
          <w:rFonts w:hint="eastAsia" w:ascii="仿宋" w:hAnsi="仿宋" w:eastAsia="仿宋" w:cs="仿宋"/>
          <w:b/>
          <w:bCs/>
          <w:color w:val="222121"/>
          <w:kern w:val="36"/>
          <w:sz w:val="32"/>
          <w:szCs w:val="32"/>
        </w:rPr>
        <w:t>南昌大学人文学院2021年招收攻读硕士学位研究生</w:t>
      </w:r>
    </w:p>
    <w:p>
      <w:pPr>
        <w:widowControl/>
        <w:jc w:val="center"/>
        <w:outlineLvl w:val="1"/>
        <w:rPr>
          <w:rFonts w:ascii="仿宋" w:hAnsi="仿宋" w:eastAsia="仿宋" w:cs="仿宋"/>
          <w:b/>
          <w:bCs/>
          <w:color w:val="222121"/>
          <w:kern w:val="36"/>
          <w:sz w:val="32"/>
          <w:szCs w:val="32"/>
        </w:rPr>
      </w:pPr>
      <w:r>
        <w:rPr>
          <w:rFonts w:hint="eastAsia" w:ascii="仿宋" w:hAnsi="仿宋" w:eastAsia="仿宋" w:cs="仿宋"/>
          <w:b/>
          <w:bCs/>
          <w:color w:val="222121"/>
          <w:kern w:val="36"/>
          <w:sz w:val="32"/>
          <w:szCs w:val="32"/>
        </w:rPr>
        <w:t>调剂复试录取工作实施细则</w:t>
      </w:r>
    </w:p>
    <w:p>
      <w:pPr>
        <w:widowControl/>
        <w:spacing w:line="480" w:lineRule="auto"/>
        <w:ind w:firstLine="480"/>
        <w:jc w:val="left"/>
        <w:rPr>
          <w:rFonts w:ascii="仿宋" w:hAnsi="仿宋" w:eastAsia="仿宋"/>
          <w:b/>
          <w:bCs/>
          <w:color w:val="000000"/>
          <w:spacing w:val="-4"/>
          <w:sz w:val="32"/>
          <w:szCs w:val="32"/>
        </w:rPr>
      </w:pPr>
      <w:r>
        <w:rPr>
          <w:rFonts w:hint="eastAsia" w:ascii="仿宋" w:hAnsi="仿宋" w:eastAsia="仿宋"/>
          <w:b/>
          <w:bCs/>
          <w:color w:val="000000"/>
          <w:spacing w:val="-4"/>
          <w:sz w:val="32"/>
          <w:szCs w:val="32"/>
        </w:rPr>
        <w:t>一、复试比例与招生计划</w:t>
      </w:r>
    </w:p>
    <w:tbl>
      <w:tblPr>
        <w:tblStyle w:val="6"/>
        <w:tblpPr w:leftFromText="180" w:rightFromText="180" w:vertAnchor="text" w:horzAnchor="page" w:tblpX="1875"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1433"/>
        <w:gridCol w:w="1267"/>
        <w:gridCol w:w="1750"/>
        <w:gridCol w:w="1467"/>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widowControl/>
              <w:spacing w:before="100" w:beforeAutospacing="1" w:after="100" w:afterAutospacing="1" w:line="360" w:lineRule="auto"/>
              <w:jc w:val="center"/>
              <w:rPr>
                <w:rFonts w:ascii="仿宋" w:hAnsi="仿宋" w:eastAsia="仿宋" w:cs="仿宋"/>
                <w:sz w:val="30"/>
                <w:szCs w:val="30"/>
              </w:rPr>
            </w:pPr>
            <w:r>
              <w:rPr>
                <w:rFonts w:hint="eastAsia" w:ascii="仿宋" w:hAnsi="仿宋" w:eastAsia="仿宋" w:cs="仿宋"/>
                <w:sz w:val="30"/>
                <w:szCs w:val="30"/>
              </w:rPr>
              <w:t>专业名称</w:t>
            </w:r>
          </w:p>
        </w:tc>
        <w:tc>
          <w:tcPr>
            <w:tcW w:w="1433" w:type="dxa"/>
            <w:vAlign w:val="center"/>
          </w:tcPr>
          <w:p>
            <w:pPr>
              <w:widowControl/>
              <w:spacing w:before="100" w:beforeAutospacing="1" w:after="100" w:afterAutospacing="1" w:line="360" w:lineRule="auto"/>
              <w:jc w:val="center"/>
              <w:textAlignment w:val="center"/>
              <w:rPr>
                <w:rFonts w:ascii="仿宋" w:hAnsi="仿宋" w:eastAsia="仿宋" w:cs="仿宋"/>
                <w:sz w:val="30"/>
                <w:szCs w:val="30"/>
              </w:rPr>
            </w:pPr>
            <w:r>
              <w:rPr>
                <w:rFonts w:hint="eastAsia" w:ascii="仿宋" w:hAnsi="仿宋" w:eastAsia="仿宋" w:cs="仿宋"/>
                <w:sz w:val="30"/>
                <w:szCs w:val="30"/>
              </w:rPr>
              <w:t>学习方式</w:t>
            </w:r>
          </w:p>
        </w:tc>
        <w:tc>
          <w:tcPr>
            <w:tcW w:w="1267" w:type="dxa"/>
            <w:vAlign w:val="center"/>
          </w:tcPr>
          <w:p>
            <w:pPr>
              <w:widowControl/>
              <w:spacing w:before="100" w:beforeAutospacing="1" w:after="100" w:afterAutospacing="1" w:line="360" w:lineRule="auto"/>
              <w:jc w:val="center"/>
              <w:textAlignment w:val="center"/>
              <w:rPr>
                <w:rFonts w:ascii="仿宋" w:hAnsi="仿宋" w:eastAsia="仿宋" w:cs="仿宋"/>
                <w:sz w:val="30"/>
                <w:szCs w:val="30"/>
              </w:rPr>
            </w:pPr>
            <w:r>
              <w:rPr>
                <w:rFonts w:hint="eastAsia" w:ascii="仿宋" w:hAnsi="仿宋" w:eastAsia="仿宋" w:cs="仿宋"/>
                <w:sz w:val="30"/>
                <w:szCs w:val="30"/>
              </w:rPr>
              <w:t>类型</w:t>
            </w:r>
          </w:p>
        </w:tc>
        <w:tc>
          <w:tcPr>
            <w:tcW w:w="1750" w:type="dxa"/>
            <w:vAlign w:val="center"/>
          </w:tcPr>
          <w:p>
            <w:pPr>
              <w:widowControl/>
              <w:spacing w:before="100" w:beforeAutospacing="1" w:after="100" w:afterAutospacing="1" w:line="360" w:lineRule="auto"/>
              <w:jc w:val="center"/>
              <w:textAlignment w:val="center"/>
              <w:rPr>
                <w:rFonts w:ascii="仿宋" w:hAnsi="仿宋" w:eastAsia="仿宋" w:cs="仿宋"/>
                <w:sz w:val="30"/>
                <w:szCs w:val="30"/>
              </w:rPr>
            </w:pPr>
            <w:r>
              <w:rPr>
                <w:rFonts w:hint="eastAsia" w:ascii="仿宋" w:hAnsi="仿宋" w:eastAsia="仿宋" w:cs="仿宋"/>
                <w:sz w:val="30"/>
                <w:szCs w:val="30"/>
              </w:rPr>
              <w:t>调剂计划</w:t>
            </w:r>
          </w:p>
        </w:tc>
        <w:tc>
          <w:tcPr>
            <w:tcW w:w="1467" w:type="dxa"/>
            <w:vAlign w:val="center"/>
          </w:tcPr>
          <w:p>
            <w:pPr>
              <w:widowControl/>
              <w:spacing w:before="100" w:beforeAutospacing="1" w:after="100" w:afterAutospacing="1" w:line="360" w:lineRule="auto"/>
              <w:jc w:val="center"/>
              <w:textAlignment w:val="center"/>
              <w:rPr>
                <w:rFonts w:ascii="仿宋" w:hAnsi="仿宋" w:eastAsia="仿宋" w:cs="仿宋"/>
                <w:sz w:val="30"/>
                <w:szCs w:val="30"/>
              </w:rPr>
            </w:pPr>
            <w:r>
              <w:rPr>
                <w:rFonts w:hint="eastAsia" w:ascii="仿宋" w:hAnsi="仿宋" w:eastAsia="仿宋" w:cs="仿宋"/>
                <w:sz w:val="30"/>
                <w:szCs w:val="30"/>
              </w:rPr>
              <w:t>调剂比例</w:t>
            </w:r>
          </w:p>
        </w:tc>
        <w:tc>
          <w:tcPr>
            <w:tcW w:w="1040" w:type="dxa"/>
            <w:vAlign w:val="center"/>
          </w:tcPr>
          <w:p>
            <w:pPr>
              <w:widowControl/>
              <w:spacing w:before="100" w:beforeAutospacing="1" w:after="100" w:afterAutospacing="1" w:line="360" w:lineRule="auto"/>
              <w:jc w:val="center"/>
              <w:textAlignment w:val="center"/>
              <w:rPr>
                <w:rFonts w:ascii="仿宋" w:hAnsi="仿宋" w:eastAsia="仿宋" w:cs="仿宋"/>
                <w:sz w:val="30"/>
                <w:szCs w:val="30"/>
              </w:rPr>
            </w:pPr>
            <w:r>
              <w:rPr>
                <w:rFonts w:hint="eastAsia" w:ascii="仿宋" w:hAnsi="仿宋" w:eastAsia="仿宋" w:cs="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widowControl/>
              <w:spacing w:before="100" w:beforeAutospacing="1" w:after="100" w:afterAutospacing="1" w:line="360" w:lineRule="auto"/>
              <w:jc w:val="center"/>
              <w:rPr>
                <w:rFonts w:ascii="仿宋" w:hAnsi="仿宋" w:eastAsia="仿宋" w:cs="仿宋"/>
                <w:sz w:val="30"/>
                <w:szCs w:val="30"/>
              </w:rPr>
            </w:pPr>
            <w:r>
              <w:rPr>
                <w:rFonts w:hint="eastAsia" w:ascii="仿宋" w:hAnsi="仿宋" w:eastAsia="仿宋" w:cs="仿宋"/>
                <w:sz w:val="30"/>
                <w:szCs w:val="30"/>
              </w:rPr>
              <w:t>科学技术哲学</w:t>
            </w:r>
          </w:p>
        </w:tc>
        <w:tc>
          <w:tcPr>
            <w:tcW w:w="1433" w:type="dxa"/>
            <w:vAlign w:val="center"/>
          </w:tcPr>
          <w:p>
            <w:pPr>
              <w:widowControl/>
              <w:spacing w:before="100" w:beforeAutospacing="1" w:after="100" w:afterAutospacing="1" w:line="360" w:lineRule="auto"/>
              <w:jc w:val="center"/>
              <w:rPr>
                <w:rFonts w:ascii="仿宋" w:hAnsi="仿宋" w:eastAsia="仿宋" w:cs="仿宋"/>
                <w:sz w:val="30"/>
                <w:szCs w:val="30"/>
              </w:rPr>
            </w:pPr>
            <w:r>
              <w:rPr>
                <w:rFonts w:hint="eastAsia" w:ascii="仿宋" w:hAnsi="仿宋" w:eastAsia="仿宋" w:cs="仿宋"/>
                <w:sz w:val="30"/>
                <w:szCs w:val="30"/>
              </w:rPr>
              <w:t>全日制</w:t>
            </w:r>
          </w:p>
        </w:tc>
        <w:tc>
          <w:tcPr>
            <w:tcW w:w="1267" w:type="dxa"/>
            <w:vAlign w:val="center"/>
          </w:tcPr>
          <w:p>
            <w:pPr>
              <w:widowControl/>
              <w:spacing w:before="100" w:beforeAutospacing="1" w:after="100" w:afterAutospacing="1" w:line="360" w:lineRule="auto"/>
              <w:jc w:val="center"/>
              <w:rPr>
                <w:rFonts w:ascii="仿宋" w:hAnsi="仿宋" w:eastAsia="仿宋" w:cs="仿宋"/>
                <w:sz w:val="30"/>
                <w:szCs w:val="30"/>
              </w:rPr>
            </w:pPr>
            <w:r>
              <w:rPr>
                <w:rFonts w:hint="eastAsia" w:ascii="仿宋" w:hAnsi="仿宋" w:eastAsia="仿宋" w:cs="仿宋"/>
                <w:sz w:val="30"/>
                <w:szCs w:val="30"/>
              </w:rPr>
              <w:t>学术型</w:t>
            </w:r>
          </w:p>
        </w:tc>
        <w:tc>
          <w:tcPr>
            <w:tcW w:w="1750" w:type="dxa"/>
            <w:vAlign w:val="center"/>
          </w:tcPr>
          <w:p>
            <w:pPr>
              <w:widowControl/>
              <w:spacing w:before="100" w:beforeAutospacing="1" w:after="100" w:afterAutospacing="1" w:line="360" w:lineRule="auto"/>
              <w:jc w:val="center"/>
              <w:rPr>
                <w:rFonts w:ascii="仿宋" w:hAnsi="仿宋" w:eastAsia="仿宋" w:cs="仿宋"/>
                <w:sz w:val="30"/>
                <w:szCs w:val="30"/>
              </w:rPr>
            </w:pPr>
            <w:r>
              <w:rPr>
                <w:rFonts w:hint="eastAsia" w:ascii="仿宋" w:hAnsi="仿宋" w:eastAsia="仿宋" w:cs="仿宋"/>
                <w:sz w:val="30"/>
                <w:szCs w:val="30"/>
              </w:rPr>
              <w:t>3</w:t>
            </w:r>
          </w:p>
        </w:tc>
        <w:tc>
          <w:tcPr>
            <w:tcW w:w="1467" w:type="dxa"/>
            <w:vAlign w:val="center"/>
          </w:tcPr>
          <w:p>
            <w:pPr>
              <w:widowControl/>
              <w:spacing w:before="100" w:beforeAutospacing="1" w:after="100" w:afterAutospacing="1" w:line="360" w:lineRule="auto"/>
              <w:jc w:val="center"/>
              <w:rPr>
                <w:rFonts w:ascii="仿宋" w:hAnsi="仿宋" w:eastAsia="仿宋" w:cs="仿宋"/>
                <w:sz w:val="30"/>
                <w:szCs w:val="30"/>
              </w:rPr>
            </w:pPr>
            <w:r>
              <w:rPr>
                <w:rFonts w:hint="eastAsia" w:ascii="仿宋" w:hAnsi="仿宋" w:eastAsia="仿宋" w:cs="仿宋"/>
                <w:sz w:val="30"/>
                <w:szCs w:val="30"/>
              </w:rPr>
              <w:t>1：1.5</w:t>
            </w:r>
          </w:p>
        </w:tc>
        <w:tc>
          <w:tcPr>
            <w:tcW w:w="1040" w:type="dxa"/>
          </w:tcPr>
          <w:p>
            <w:pPr>
              <w:widowControl/>
              <w:spacing w:before="100" w:beforeAutospacing="1" w:after="100" w:afterAutospacing="1" w:line="360" w:lineRule="auto"/>
              <w:jc w:val="left"/>
              <w:rPr>
                <w:rFonts w:ascii="仿宋" w:hAnsi="仿宋" w:eastAsia="仿宋" w:cs="仿宋"/>
                <w:sz w:val="30"/>
                <w:szCs w:val="30"/>
              </w:rPr>
            </w:pPr>
          </w:p>
        </w:tc>
      </w:tr>
    </w:tbl>
    <w:p>
      <w:r>
        <w:rPr>
          <w:rFonts w:hint="eastAsia"/>
        </w:rPr>
        <w:t xml:space="preserve"> </w:t>
      </w:r>
    </w:p>
    <w:p>
      <w:pPr>
        <w:widowControl/>
        <w:numPr>
          <w:ilvl w:val="0"/>
          <w:numId w:val="1"/>
        </w:numPr>
        <w:spacing w:line="480" w:lineRule="auto"/>
        <w:ind w:firstLine="480"/>
        <w:jc w:val="left"/>
        <w:rPr>
          <w:rFonts w:ascii="仿宋" w:hAnsi="仿宋" w:eastAsia="仿宋"/>
          <w:b/>
          <w:bCs/>
          <w:color w:val="000000"/>
          <w:spacing w:val="-4"/>
          <w:sz w:val="32"/>
          <w:szCs w:val="32"/>
        </w:rPr>
      </w:pPr>
      <w:r>
        <w:rPr>
          <w:rFonts w:hint="eastAsia" w:ascii="仿宋" w:hAnsi="仿宋" w:eastAsia="仿宋"/>
          <w:b/>
          <w:bCs/>
          <w:color w:val="000000"/>
          <w:spacing w:val="-4"/>
          <w:sz w:val="32"/>
          <w:szCs w:val="32"/>
        </w:rPr>
        <w:t>调剂原则</w:t>
      </w:r>
    </w:p>
    <w:p>
      <w:pPr>
        <w:pStyle w:val="4"/>
        <w:spacing w:before="0" w:beforeAutospacing="0" w:after="0" w:afterAutospacing="0" w:line="360" w:lineRule="auto"/>
        <w:ind w:firstLine="600" w:firstLineChars="200"/>
        <w:jc w:val="both"/>
        <w:rPr>
          <w:rFonts w:ascii="仿宋" w:hAnsi="仿宋" w:eastAsia="仿宋" w:cs="仿宋"/>
          <w:kern w:val="2"/>
          <w:sz w:val="30"/>
          <w:szCs w:val="30"/>
        </w:rPr>
      </w:pPr>
      <w:r>
        <w:rPr>
          <w:rFonts w:hint="eastAsia" w:ascii="仿宋" w:hAnsi="仿宋" w:eastAsia="仿宋" w:cs="仿宋"/>
          <w:kern w:val="2"/>
          <w:sz w:val="30"/>
          <w:szCs w:val="30"/>
        </w:rPr>
        <w:t>科学技术哲学专业：</w:t>
      </w:r>
    </w:p>
    <w:p>
      <w:pPr>
        <w:pStyle w:val="4"/>
        <w:numPr>
          <w:ilvl w:val="0"/>
          <w:numId w:val="2"/>
        </w:numPr>
        <w:spacing w:before="0" w:beforeAutospacing="0" w:after="0" w:afterAutospacing="0" w:line="360" w:lineRule="auto"/>
        <w:ind w:left="540" w:firstLine="300"/>
        <w:jc w:val="both"/>
        <w:rPr>
          <w:rFonts w:ascii="仿宋" w:hAnsi="仿宋" w:eastAsia="仿宋" w:cs="仿宋"/>
          <w:kern w:val="2"/>
          <w:sz w:val="30"/>
          <w:szCs w:val="30"/>
        </w:rPr>
      </w:pPr>
      <w:r>
        <w:rPr>
          <w:rFonts w:hint="eastAsia" w:ascii="仿宋" w:hAnsi="仿宋" w:eastAsia="仿宋" w:cs="仿宋"/>
          <w:kern w:val="2"/>
          <w:sz w:val="30"/>
          <w:szCs w:val="30"/>
        </w:rPr>
        <w:t>全日制本科毕业；</w:t>
      </w:r>
    </w:p>
    <w:p>
      <w:pPr>
        <w:pStyle w:val="4"/>
        <w:numPr>
          <w:ilvl w:val="0"/>
          <w:numId w:val="2"/>
        </w:numPr>
        <w:spacing w:before="0" w:beforeAutospacing="0" w:after="0" w:afterAutospacing="0" w:line="360" w:lineRule="auto"/>
        <w:ind w:left="540" w:firstLine="300"/>
        <w:jc w:val="both"/>
        <w:rPr>
          <w:rFonts w:hint="eastAsia" w:ascii="仿宋" w:hAnsi="仿宋" w:eastAsia="仿宋" w:cs="仿宋"/>
          <w:kern w:val="2"/>
          <w:sz w:val="30"/>
          <w:szCs w:val="30"/>
        </w:rPr>
      </w:pPr>
      <w:r>
        <w:rPr>
          <w:rFonts w:hint="eastAsia" w:ascii="仿宋" w:hAnsi="仿宋" w:eastAsia="仿宋" w:cs="仿宋"/>
          <w:kern w:val="2"/>
          <w:sz w:val="30"/>
          <w:szCs w:val="30"/>
        </w:rPr>
        <w:t>报考专业为哲学类专业</w:t>
      </w:r>
      <w:r>
        <w:rPr>
          <w:rFonts w:hint="eastAsia" w:ascii="仿宋" w:hAnsi="仿宋" w:eastAsia="仿宋" w:cs="仿宋"/>
          <w:kern w:val="2"/>
          <w:sz w:val="30"/>
          <w:szCs w:val="30"/>
          <w:lang w:eastAsia="zh-CN"/>
        </w:rPr>
        <w:t>，</w:t>
      </w:r>
      <w:r>
        <w:rPr>
          <w:rFonts w:hint="eastAsia" w:ascii="仿宋" w:hAnsi="仿宋" w:eastAsia="仿宋" w:cs="仿宋"/>
          <w:kern w:val="2"/>
          <w:sz w:val="30"/>
          <w:szCs w:val="30"/>
          <w:lang w:val="en-US" w:eastAsia="zh-CN"/>
        </w:rPr>
        <w:t>具体为马克思主义哲学、中国哲学、外国哲学、伦理学、宗教学、科学技术哲学六个</w:t>
      </w:r>
      <w:bookmarkStart w:id="0" w:name="_GoBack"/>
      <w:bookmarkEnd w:id="0"/>
      <w:r>
        <w:rPr>
          <w:rFonts w:hint="eastAsia" w:ascii="仿宋" w:hAnsi="仿宋" w:eastAsia="仿宋" w:cs="仿宋"/>
          <w:kern w:val="2"/>
          <w:sz w:val="30"/>
          <w:szCs w:val="30"/>
          <w:lang w:val="en-US" w:eastAsia="zh-CN"/>
        </w:rPr>
        <w:t>学科方向</w:t>
      </w:r>
      <w:r>
        <w:rPr>
          <w:rFonts w:hint="eastAsia" w:ascii="仿宋" w:hAnsi="仿宋" w:eastAsia="仿宋" w:cs="仿宋"/>
          <w:kern w:val="2"/>
          <w:sz w:val="30"/>
          <w:szCs w:val="30"/>
        </w:rPr>
        <w:t>；</w:t>
      </w:r>
    </w:p>
    <w:p>
      <w:pPr>
        <w:pStyle w:val="4"/>
        <w:numPr>
          <w:ilvl w:val="0"/>
          <w:numId w:val="2"/>
        </w:numPr>
        <w:spacing w:before="0" w:beforeAutospacing="0" w:after="0" w:afterAutospacing="0" w:line="360" w:lineRule="auto"/>
        <w:ind w:left="540" w:firstLine="300"/>
        <w:jc w:val="both"/>
        <w:rPr>
          <w:rFonts w:ascii="仿宋" w:hAnsi="仿宋" w:eastAsia="仿宋" w:cs="仿宋"/>
          <w:kern w:val="2"/>
          <w:sz w:val="30"/>
          <w:szCs w:val="30"/>
        </w:rPr>
      </w:pPr>
      <w:r>
        <w:rPr>
          <w:rFonts w:hint="eastAsia" w:ascii="仿宋" w:hAnsi="仿宋" w:eastAsia="仿宋" w:cs="仿宋"/>
          <w:kern w:val="2"/>
          <w:sz w:val="30"/>
          <w:szCs w:val="30"/>
        </w:rPr>
        <w:t>本科所学专业为哲学类、理工类及医学类专业优先；</w:t>
      </w:r>
    </w:p>
    <w:p>
      <w:pPr>
        <w:widowControl/>
        <w:numPr>
          <w:ilvl w:val="0"/>
          <w:numId w:val="1"/>
        </w:numPr>
        <w:spacing w:line="480" w:lineRule="auto"/>
        <w:ind w:firstLine="480"/>
        <w:jc w:val="left"/>
        <w:rPr>
          <w:rFonts w:ascii="仿宋" w:hAnsi="仿宋" w:eastAsia="仿宋"/>
          <w:b/>
          <w:bCs/>
          <w:color w:val="000000"/>
          <w:spacing w:val="-4"/>
          <w:sz w:val="32"/>
          <w:szCs w:val="32"/>
        </w:rPr>
      </w:pPr>
      <w:r>
        <w:rPr>
          <w:rFonts w:hint="eastAsia" w:ascii="仿宋" w:hAnsi="仿宋" w:eastAsia="仿宋"/>
          <w:b/>
          <w:bCs/>
          <w:color w:val="000000"/>
          <w:spacing w:val="-4"/>
          <w:sz w:val="32"/>
          <w:szCs w:val="32"/>
        </w:rPr>
        <w:t>调剂程序</w:t>
      </w:r>
    </w:p>
    <w:p>
      <w:pPr>
        <w:pStyle w:val="4"/>
        <w:spacing w:before="0" w:beforeAutospacing="0" w:after="0" w:afterAutospacing="0" w:line="360" w:lineRule="auto"/>
        <w:ind w:firstLine="600" w:firstLineChars="200"/>
        <w:jc w:val="both"/>
        <w:rPr>
          <w:rFonts w:ascii="仿宋" w:hAnsi="仿宋" w:eastAsia="仿宋" w:cs="仿宋"/>
          <w:kern w:val="2"/>
          <w:sz w:val="30"/>
          <w:szCs w:val="30"/>
        </w:rPr>
      </w:pPr>
      <w:r>
        <w:rPr>
          <w:rFonts w:hint="eastAsia" w:ascii="仿宋" w:hAnsi="仿宋" w:eastAsia="仿宋" w:cs="仿宋"/>
          <w:kern w:val="2"/>
          <w:sz w:val="30"/>
          <w:szCs w:val="30"/>
        </w:rPr>
        <w:t>（一）调剂时间</w:t>
      </w:r>
    </w:p>
    <w:p>
      <w:pPr>
        <w:pStyle w:val="4"/>
        <w:spacing w:before="0" w:beforeAutospacing="0" w:after="0" w:afterAutospacing="0" w:line="360" w:lineRule="auto"/>
        <w:ind w:firstLine="900" w:firstLineChars="300"/>
        <w:jc w:val="both"/>
        <w:rPr>
          <w:rFonts w:ascii="仿宋" w:hAnsi="仿宋" w:eastAsia="仿宋" w:cs="仿宋"/>
          <w:kern w:val="2"/>
          <w:sz w:val="30"/>
          <w:szCs w:val="30"/>
        </w:rPr>
      </w:pPr>
      <w:r>
        <w:rPr>
          <w:rFonts w:hint="eastAsia" w:ascii="仿宋" w:hAnsi="仿宋" w:eastAsia="仿宋" w:cs="仿宋"/>
          <w:kern w:val="2"/>
          <w:sz w:val="30"/>
          <w:szCs w:val="30"/>
        </w:rPr>
        <w:t>4月5日08:00-20:00我校开通考生调剂报名。</w:t>
      </w:r>
    </w:p>
    <w:p>
      <w:pPr>
        <w:spacing w:line="360" w:lineRule="auto"/>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（二）调剂流程</w:t>
      </w:r>
    </w:p>
    <w:p>
      <w:pPr>
        <w:spacing w:line="360" w:lineRule="auto"/>
        <w:ind w:firstLine="600" w:firstLineChars="200"/>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请考生直接登录“中国研究生招生信息网” （网址：</w:t>
      </w:r>
      <w:r>
        <w:rPr>
          <w:rFonts w:hint="eastAsia" w:ascii="仿宋" w:hAnsi="仿宋" w:eastAsia="仿宋" w:cs="仿宋"/>
          <w:kern w:val="0"/>
          <w:sz w:val="30"/>
          <w:szCs w:val="30"/>
          <w:lang w:val="en-US" w:eastAsia="zh-CN" w:bidi="ar-SA"/>
        </w:rPr>
        <w:fldChar w:fldCharType="begin"/>
      </w:r>
      <w:r>
        <w:rPr>
          <w:rFonts w:hint="eastAsia" w:ascii="仿宋" w:hAnsi="仿宋" w:eastAsia="仿宋" w:cs="仿宋"/>
          <w:kern w:val="0"/>
          <w:sz w:val="30"/>
          <w:szCs w:val="30"/>
          <w:lang w:val="en-US" w:eastAsia="zh-CN" w:bidi="ar-SA"/>
        </w:rPr>
        <w:instrText xml:space="preserve"> HYPERLINK "http://yz.chsi.com.cn/" </w:instrText>
      </w:r>
      <w:r>
        <w:rPr>
          <w:rFonts w:hint="eastAsia" w:ascii="仿宋" w:hAnsi="仿宋" w:eastAsia="仿宋" w:cs="仿宋"/>
          <w:kern w:val="0"/>
          <w:sz w:val="30"/>
          <w:szCs w:val="30"/>
          <w:lang w:val="en-US" w:eastAsia="zh-CN" w:bidi="ar-SA"/>
        </w:rPr>
        <w:fldChar w:fldCharType="separate"/>
      </w:r>
      <w:r>
        <w:rPr>
          <w:rFonts w:hint="eastAsia" w:ascii="仿宋" w:hAnsi="仿宋" w:eastAsia="仿宋" w:cs="仿宋"/>
          <w:kern w:val="0"/>
          <w:sz w:val="30"/>
          <w:szCs w:val="30"/>
          <w:lang w:val="en-US" w:eastAsia="zh-CN" w:bidi="ar-SA"/>
        </w:rPr>
        <w:t>http://yz.chsi.com.cn</w:t>
      </w:r>
      <w:r>
        <w:rPr>
          <w:rFonts w:hint="eastAsia" w:ascii="仿宋" w:hAnsi="仿宋" w:eastAsia="仿宋" w:cs="仿宋"/>
          <w:kern w:val="0"/>
          <w:sz w:val="30"/>
          <w:szCs w:val="30"/>
          <w:lang w:val="en-US" w:eastAsia="zh-CN" w:bidi="ar-SA"/>
        </w:rPr>
        <w:fldChar w:fldCharType="end"/>
      </w:r>
      <w:r>
        <w:rPr>
          <w:rFonts w:hint="eastAsia" w:ascii="仿宋" w:hAnsi="仿宋" w:eastAsia="仿宋" w:cs="仿宋"/>
          <w:kern w:val="0"/>
          <w:sz w:val="30"/>
          <w:szCs w:val="30"/>
          <w:lang w:val="en-US" w:eastAsia="zh-CN" w:bidi="ar-SA"/>
        </w:rPr>
        <w:t xml:space="preserve"> ）填报调剂志愿。我校将依据考生初试成绩、第一志愿报考专业、考生调剂意愿、考生学术水平等综合考虑并择优遴选确定调剂生源复试名单，再通过网上调剂系统对考生发出复试通知。考生必须在我校规定时间内,调剂系统中点击“接受复试通知”，否则视为放弃复试资格。</w:t>
      </w:r>
    </w:p>
    <w:p>
      <w:pPr>
        <w:widowControl/>
        <w:numPr>
          <w:numId w:val="0"/>
        </w:numPr>
        <w:spacing w:line="480" w:lineRule="auto"/>
        <w:jc w:val="left"/>
        <w:rPr>
          <w:rFonts w:hint="eastAsia" w:ascii="仿宋" w:hAnsi="仿宋" w:eastAsia="仿宋"/>
          <w:b/>
          <w:bCs/>
          <w:color w:val="000000"/>
          <w:spacing w:val="-4"/>
          <w:sz w:val="32"/>
          <w:szCs w:val="32"/>
        </w:rPr>
      </w:pPr>
      <w:r>
        <w:rPr>
          <w:rFonts w:hint="eastAsia" w:ascii="仿宋" w:hAnsi="仿宋" w:eastAsia="仿宋"/>
          <w:b/>
          <w:bCs/>
          <w:color w:val="000000"/>
          <w:spacing w:val="-4"/>
          <w:sz w:val="32"/>
          <w:szCs w:val="32"/>
          <w:lang w:val="en-US" w:eastAsia="zh-CN"/>
        </w:rPr>
        <w:t>四、</w:t>
      </w:r>
      <w:r>
        <w:rPr>
          <w:rFonts w:hint="eastAsia" w:ascii="仿宋" w:hAnsi="仿宋" w:eastAsia="仿宋"/>
          <w:b/>
          <w:bCs/>
          <w:color w:val="000000"/>
          <w:spacing w:val="-4"/>
          <w:sz w:val="32"/>
          <w:szCs w:val="32"/>
        </w:rPr>
        <w:t>复试需要提交的材料及提交时间</w:t>
      </w:r>
    </w:p>
    <w:p>
      <w:pPr>
        <w:pStyle w:val="4"/>
        <w:spacing w:before="0" w:beforeAutospacing="0" w:after="0" w:afterAutospacing="0" w:line="456" w:lineRule="auto"/>
        <w:ind w:firstLine="560"/>
        <w:rPr>
          <w:rFonts w:ascii="仿宋" w:hAnsi="仿宋" w:eastAsia="仿宋" w:cs="仿宋"/>
          <w:sz w:val="30"/>
          <w:szCs w:val="30"/>
        </w:rPr>
      </w:pPr>
      <w:r>
        <w:rPr>
          <w:rFonts w:hint="eastAsia" w:ascii="仿宋" w:hAnsi="仿宋" w:eastAsia="仿宋" w:cs="仿宋"/>
          <w:sz w:val="30"/>
          <w:szCs w:val="30"/>
        </w:rPr>
        <w:t>为方便联系考生及发布信息我院专门建立考生QQ群，调剂考生需申请入群（见南昌大学人文学院官网公告），并于4月8日前在网络远程复试平台上传资格审查的相关材料且进行网上报到，</w:t>
      </w:r>
      <w:r>
        <w:rPr>
          <w:rFonts w:hint="eastAsia" w:ascii="仿宋" w:hAnsi="仿宋" w:eastAsia="仿宋" w:cs="Arial"/>
          <w:color w:val="000000"/>
          <w:sz w:val="28"/>
          <w:szCs w:val="28"/>
        </w:rPr>
        <w:t>所涉及原件请以彩色电子扫描件（PDF格式）提交至系统</w:t>
      </w:r>
      <w:r>
        <w:rPr>
          <w:rFonts w:hint="eastAsia" w:ascii="仿宋" w:hAnsi="仿宋" w:eastAsia="仿宋" w:cs="仿宋"/>
          <w:sz w:val="30"/>
          <w:szCs w:val="30"/>
        </w:rPr>
        <w:t>。学院在4月9日9:00前将对考生提交的电子材料进行严格审查核验，严把复试入口关，对不符合规定者，不予复试。</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除提交电子版审核材料外，考生还需在4月12日下午16:00前向人文学院研究生办公室寄（送）达相关纸质审核材料（考生资格审查单及审查单所勾选材料），特别提醒：资格审查单上必须有本人亲笔签名，纸质审核材料中的体检证明需由二甲以上医院开具。考生需按照资格审查单所列顺序将材料一并装入自备信封，邮寄务必使用顺丰快递或EMS寄送，邮寄地址：江西省南昌市红谷滩新区学府大道999号南昌大学前湖校区人文学院研究生办公室董老师收，手机：18679053929，邮编：330031，请在邮件封面注明“人文学院‘2021年南昌大学人文学院硕士招生复试’纸制材料”。如因考生个人原因未能及时寄送纸质报名材料而导致无法参加学院考核，相关不良后果由考生本人承担。所寄的所有申请材料一概不予退还，请寄送前复印好相关材料。</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b/>
          <w:bCs/>
          <w:color w:val="000000"/>
          <w:sz w:val="28"/>
          <w:szCs w:val="28"/>
        </w:rPr>
        <w:t>复试资格审查材料清单详见《南昌大学2021年硕士研究生招生复试须知》。</w:t>
      </w:r>
    </w:p>
    <w:p>
      <w:pPr>
        <w:widowControl/>
        <w:numPr>
          <w:ilvl w:val="0"/>
          <w:numId w:val="0"/>
        </w:numPr>
        <w:spacing w:line="480" w:lineRule="auto"/>
        <w:jc w:val="left"/>
        <w:rPr>
          <w:rFonts w:hint="eastAsia" w:ascii="仿宋" w:hAnsi="仿宋" w:eastAsia="仿宋"/>
          <w:b/>
          <w:bCs/>
          <w:color w:val="000000"/>
          <w:spacing w:val="-4"/>
          <w:sz w:val="32"/>
          <w:szCs w:val="32"/>
        </w:rPr>
      </w:pPr>
      <w:r>
        <w:rPr>
          <w:rFonts w:hint="eastAsia" w:ascii="仿宋" w:hAnsi="仿宋" w:eastAsia="仿宋"/>
          <w:b/>
          <w:bCs/>
          <w:color w:val="000000"/>
          <w:spacing w:val="-4"/>
          <w:sz w:val="32"/>
          <w:szCs w:val="32"/>
          <w:lang w:val="en-US" w:eastAsia="zh-CN"/>
        </w:rPr>
        <w:t>五、</w:t>
      </w:r>
      <w:r>
        <w:rPr>
          <w:rFonts w:hint="eastAsia" w:ascii="仿宋" w:hAnsi="仿宋" w:eastAsia="仿宋"/>
          <w:b/>
          <w:bCs/>
          <w:color w:val="000000"/>
          <w:spacing w:val="-4"/>
          <w:sz w:val="32"/>
          <w:szCs w:val="32"/>
        </w:rPr>
        <w:t>复试要求</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（一）复试时间</w:t>
      </w:r>
    </w:p>
    <w:tbl>
      <w:tblPr>
        <w:tblStyle w:val="6"/>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100"/>
        <w:gridCol w:w="1800"/>
        <w:gridCol w:w="126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44" w:type="dxa"/>
            <w:vAlign w:val="center"/>
          </w:tcPr>
          <w:p>
            <w:pPr>
              <w:pStyle w:val="4"/>
              <w:spacing w:before="0" w:beforeAutospacing="0" w:after="0" w:afterAutospacing="0" w:line="456" w:lineRule="auto"/>
              <w:jc w:val="center"/>
              <w:rPr>
                <w:rFonts w:ascii="仿宋" w:hAnsi="仿宋" w:eastAsia="仿宋" w:cs="Arial"/>
                <w:color w:val="000000"/>
                <w:sz w:val="28"/>
                <w:szCs w:val="28"/>
              </w:rPr>
            </w:pPr>
            <w:r>
              <w:rPr>
                <w:rFonts w:hint="eastAsia" w:ascii="仿宋" w:hAnsi="仿宋" w:eastAsia="仿宋" w:cs="Arial"/>
                <w:color w:val="000000"/>
                <w:sz w:val="28"/>
                <w:szCs w:val="28"/>
              </w:rPr>
              <w:t>专业代码</w:t>
            </w:r>
          </w:p>
        </w:tc>
        <w:tc>
          <w:tcPr>
            <w:tcW w:w="2100" w:type="dxa"/>
            <w:vAlign w:val="center"/>
          </w:tcPr>
          <w:p>
            <w:pPr>
              <w:pStyle w:val="4"/>
              <w:spacing w:before="0" w:beforeAutospacing="0" w:after="0" w:afterAutospacing="0" w:line="456" w:lineRule="auto"/>
              <w:jc w:val="center"/>
              <w:rPr>
                <w:rFonts w:ascii="仿宋" w:hAnsi="仿宋" w:eastAsia="仿宋" w:cs="Arial"/>
                <w:color w:val="000000"/>
                <w:sz w:val="28"/>
                <w:szCs w:val="28"/>
              </w:rPr>
            </w:pPr>
            <w:r>
              <w:rPr>
                <w:rFonts w:hint="eastAsia" w:ascii="仿宋" w:hAnsi="仿宋" w:eastAsia="仿宋" w:cs="Arial"/>
                <w:color w:val="000000"/>
                <w:sz w:val="28"/>
                <w:szCs w:val="28"/>
              </w:rPr>
              <w:t>专业</w:t>
            </w:r>
          </w:p>
        </w:tc>
        <w:tc>
          <w:tcPr>
            <w:tcW w:w="1800" w:type="dxa"/>
            <w:vAlign w:val="center"/>
          </w:tcPr>
          <w:p>
            <w:pPr>
              <w:pStyle w:val="4"/>
              <w:spacing w:before="0" w:beforeAutospacing="0" w:after="0" w:afterAutospacing="0" w:line="456" w:lineRule="auto"/>
              <w:jc w:val="center"/>
              <w:rPr>
                <w:rFonts w:ascii="仿宋" w:hAnsi="仿宋" w:eastAsia="仿宋" w:cs="Arial"/>
                <w:color w:val="000000"/>
                <w:sz w:val="28"/>
                <w:szCs w:val="28"/>
              </w:rPr>
            </w:pPr>
            <w:r>
              <w:rPr>
                <w:rFonts w:hint="eastAsia" w:ascii="仿宋" w:hAnsi="仿宋" w:eastAsia="仿宋" w:cs="Arial"/>
                <w:color w:val="000000"/>
                <w:sz w:val="28"/>
                <w:szCs w:val="28"/>
              </w:rPr>
              <w:t>日期</w:t>
            </w:r>
          </w:p>
        </w:tc>
        <w:tc>
          <w:tcPr>
            <w:tcW w:w="1267" w:type="dxa"/>
            <w:vAlign w:val="center"/>
          </w:tcPr>
          <w:p>
            <w:pPr>
              <w:pStyle w:val="4"/>
              <w:spacing w:before="0" w:beforeAutospacing="0" w:after="0" w:afterAutospacing="0" w:line="456" w:lineRule="auto"/>
              <w:jc w:val="center"/>
              <w:rPr>
                <w:rFonts w:ascii="仿宋" w:hAnsi="仿宋" w:eastAsia="仿宋" w:cs="Arial"/>
                <w:color w:val="000000"/>
                <w:sz w:val="28"/>
                <w:szCs w:val="28"/>
              </w:rPr>
            </w:pPr>
            <w:r>
              <w:rPr>
                <w:rFonts w:hint="eastAsia" w:ascii="仿宋" w:hAnsi="仿宋" w:eastAsia="仿宋" w:cs="Arial"/>
                <w:color w:val="000000"/>
                <w:sz w:val="28"/>
                <w:szCs w:val="28"/>
              </w:rPr>
              <w:t>时间</w:t>
            </w:r>
          </w:p>
        </w:tc>
        <w:tc>
          <w:tcPr>
            <w:tcW w:w="1110" w:type="dxa"/>
          </w:tcPr>
          <w:p>
            <w:pPr>
              <w:pStyle w:val="4"/>
              <w:spacing w:before="0" w:beforeAutospacing="0" w:after="0" w:afterAutospacing="0" w:line="456" w:lineRule="auto"/>
              <w:jc w:val="center"/>
              <w:rPr>
                <w:rFonts w:ascii="仿宋" w:hAnsi="仿宋" w:eastAsia="仿宋" w:cs="Arial"/>
                <w:color w:val="000000"/>
                <w:sz w:val="28"/>
                <w:szCs w:val="28"/>
              </w:rPr>
            </w:pPr>
            <w:r>
              <w:rPr>
                <w:rFonts w:hint="eastAsia" w:ascii="仿宋" w:hAnsi="仿宋" w:eastAsia="仿宋" w:cs="Arial"/>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pStyle w:val="4"/>
              <w:spacing w:before="0" w:beforeAutospacing="0" w:after="0" w:afterAutospacing="0" w:line="456" w:lineRule="auto"/>
              <w:jc w:val="center"/>
              <w:rPr>
                <w:rFonts w:ascii="仿宋" w:hAnsi="仿宋" w:eastAsia="仿宋" w:cs="Arial"/>
                <w:color w:val="000000"/>
                <w:sz w:val="28"/>
                <w:szCs w:val="28"/>
              </w:rPr>
            </w:pPr>
            <w:r>
              <w:rPr>
                <w:rFonts w:hint="eastAsia" w:ascii="仿宋" w:hAnsi="仿宋" w:eastAsia="仿宋" w:cs="Arial"/>
                <w:color w:val="000000"/>
                <w:sz w:val="28"/>
                <w:szCs w:val="28"/>
              </w:rPr>
              <w:t>010108</w:t>
            </w:r>
          </w:p>
        </w:tc>
        <w:tc>
          <w:tcPr>
            <w:tcW w:w="2100" w:type="dxa"/>
            <w:vAlign w:val="center"/>
          </w:tcPr>
          <w:p>
            <w:pPr>
              <w:pStyle w:val="4"/>
              <w:spacing w:before="0" w:beforeAutospacing="0" w:after="0" w:afterAutospacing="0" w:line="456" w:lineRule="auto"/>
              <w:rPr>
                <w:rFonts w:ascii="仿宋" w:hAnsi="仿宋" w:eastAsia="仿宋" w:cs="Arial"/>
                <w:color w:val="000000"/>
                <w:sz w:val="28"/>
                <w:szCs w:val="28"/>
              </w:rPr>
            </w:pPr>
            <w:r>
              <w:rPr>
                <w:rFonts w:hint="eastAsia" w:ascii="仿宋" w:hAnsi="仿宋" w:eastAsia="仿宋" w:cs="仿宋"/>
                <w:kern w:val="2"/>
                <w:sz w:val="30"/>
                <w:szCs w:val="30"/>
              </w:rPr>
              <w:t>科学技术哲学</w:t>
            </w:r>
          </w:p>
        </w:tc>
        <w:tc>
          <w:tcPr>
            <w:tcW w:w="1800" w:type="dxa"/>
            <w:vAlign w:val="center"/>
          </w:tcPr>
          <w:p>
            <w:pPr>
              <w:pStyle w:val="4"/>
              <w:spacing w:before="0" w:beforeAutospacing="0" w:after="0" w:afterAutospacing="0" w:line="456" w:lineRule="auto"/>
              <w:ind w:firstLine="280" w:firstLineChars="100"/>
              <w:rPr>
                <w:rFonts w:ascii="仿宋" w:hAnsi="仿宋" w:eastAsia="仿宋" w:cs="Arial"/>
                <w:color w:val="000000"/>
                <w:sz w:val="28"/>
                <w:szCs w:val="28"/>
              </w:rPr>
            </w:pPr>
            <w:r>
              <w:rPr>
                <w:rFonts w:hint="eastAsia" w:ascii="仿宋" w:hAnsi="仿宋" w:eastAsia="仿宋" w:cs="Arial"/>
                <w:color w:val="000000"/>
                <w:sz w:val="28"/>
                <w:szCs w:val="28"/>
              </w:rPr>
              <w:t>4月9日</w:t>
            </w:r>
          </w:p>
        </w:tc>
        <w:tc>
          <w:tcPr>
            <w:tcW w:w="1267" w:type="dxa"/>
            <w:vAlign w:val="center"/>
          </w:tcPr>
          <w:p>
            <w:pPr>
              <w:pStyle w:val="4"/>
              <w:spacing w:before="0" w:beforeAutospacing="0" w:after="0" w:afterAutospacing="0" w:line="456" w:lineRule="auto"/>
              <w:ind w:firstLine="280" w:firstLineChars="100"/>
              <w:rPr>
                <w:rFonts w:ascii="仿宋" w:hAnsi="仿宋" w:eastAsia="仿宋" w:cs="Arial"/>
                <w:color w:val="000000"/>
                <w:sz w:val="28"/>
                <w:szCs w:val="28"/>
              </w:rPr>
            </w:pPr>
            <w:r>
              <w:rPr>
                <w:rFonts w:hint="eastAsia" w:ascii="仿宋" w:hAnsi="仿宋" w:eastAsia="仿宋" w:cs="Arial"/>
                <w:color w:val="000000"/>
                <w:sz w:val="28"/>
                <w:szCs w:val="28"/>
              </w:rPr>
              <w:t>9:00</w:t>
            </w:r>
          </w:p>
        </w:tc>
        <w:tc>
          <w:tcPr>
            <w:tcW w:w="1110" w:type="dxa"/>
          </w:tcPr>
          <w:p>
            <w:pPr>
              <w:pStyle w:val="4"/>
              <w:spacing w:before="0" w:beforeAutospacing="0" w:after="0" w:afterAutospacing="0" w:line="456" w:lineRule="auto"/>
              <w:ind w:firstLine="560"/>
              <w:rPr>
                <w:rFonts w:ascii="仿宋" w:hAnsi="仿宋" w:eastAsia="仿宋" w:cs="Arial"/>
                <w:color w:val="000000"/>
                <w:sz w:val="28"/>
                <w:szCs w:val="28"/>
              </w:rPr>
            </w:pPr>
          </w:p>
        </w:tc>
      </w:tr>
    </w:tbl>
    <w:p>
      <w:pPr>
        <w:pStyle w:val="4"/>
        <w:numPr>
          <w:ilvl w:val="0"/>
          <w:numId w:val="3"/>
        </w:numPr>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 xml:space="preserve">复试方式与平台 </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 xml:space="preserve">采用网络远程的方式进行复试。复试平台为《研招远程面试系统》（教育部推荐），备用平台为腾讯会议。考生远程复试所需配备的设备和复试场地要求：        </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1.“双机位”硬件：</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考生远程参加复试需双机位进行，分别使用电脑和手机登录学信网远程复试系统。</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第一机位：电脑，不得使用耳机。需带有摄像头、麦克风功能。</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第二机位：手机或pad等平板设备（安卓系统或苹果系统），建议准备手机支架。</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双机位操作：考生双手摆放桌面，第一机位从正面拍摄，放置在距离本人30cm处，完整拍摄到考生双手以上身体部位。第二机位从考生侧后方45°距离本人1m处拍摄，可以拍摄到考生侧面及主设备电脑全屏幕，需保证面试考官能够从第二机位清晰看到第一机位屏幕。</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2.软件：</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1）电脑：需下载安装最新版Chrome浏览器。</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2）手机或pad等平板设备：需下载安装最新版学信网APP，安装后请允许学信网App使用摄像头、扬声器、存储空间、网络等权限，以保证正常进行实人验证。建议安装支付宝（实人验证用）。</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3.环境要求：</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考生应选择安静、独立、无干扰、光线适宜的复试环境。可视范围内不能有相关资料，不得有其他人在场；须关闭可能影响正常复试的移动设备、应用程序及其他任何电子设备等，不得出现其他声音。</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复试期间“双机位”应一直显示远程复试界面，视频背景必须是真实环境，不允许使用虚拟背景、更换视频背景。</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考生需提前测试设备和网络，能满足复试要求，建议考生尽可能准备至少两种网络方案：有线网络、无线网络、4G/5G网络等。建议电脑优先使用有线网络；手机电量保持充足。</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正式复试前，考生需按要求备妥软硬件条件和网络环境，配合各学院完成网络远程复试软件测试与模拟演练（包括学院要求的备用平台），请各位考生注意查看学院通知，并保持联系方式畅通。</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（三）复试内容</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1.外国语听力与口语测试：5分钟（自我介绍和面试官提问环节）;</w:t>
      </w:r>
    </w:p>
    <w:p>
      <w:pPr>
        <w:pStyle w:val="10"/>
        <w:ind w:firstLine="56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2.专业基础考核：10分钟</w:t>
      </w:r>
    </w:p>
    <w:p>
      <w:pPr>
        <w:pStyle w:val="10"/>
        <w:ind w:firstLine="560"/>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3.综合素质考核：10分钟</w:t>
      </w:r>
    </w:p>
    <w:p>
      <w:pPr>
        <w:pStyle w:val="10"/>
        <w:ind w:firstLine="560"/>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lang w:val="en-US" w:eastAsia="zh-CN"/>
        </w:rPr>
        <w:t>四</w:t>
      </w:r>
      <w:r>
        <w:rPr>
          <w:rFonts w:hint="eastAsia" w:ascii="仿宋" w:hAnsi="仿宋" w:eastAsia="仿宋" w:cs="Arial"/>
          <w:color w:val="000000"/>
          <w:kern w:val="0"/>
          <w:sz w:val="28"/>
          <w:szCs w:val="28"/>
          <w:lang w:eastAsia="zh-CN"/>
        </w:rPr>
        <w:t>）</w:t>
      </w:r>
      <w:r>
        <w:rPr>
          <w:rFonts w:hint="eastAsia" w:ascii="仿宋" w:hAnsi="仿宋" w:eastAsia="仿宋" w:cs="Arial"/>
          <w:color w:val="000000"/>
          <w:kern w:val="0"/>
          <w:sz w:val="28"/>
          <w:szCs w:val="28"/>
        </w:rPr>
        <w:t>网络远程复试要求</w:t>
      </w:r>
    </w:p>
    <w:p>
      <w:pPr>
        <w:pStyle w:val="10"/>
        <w:ind w:firstLine="560"/>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1.网上复试，每一个面试组的面试老师在同一场所进行面试，全程录音录像，并安排好网络技术指导。</w:t>
      </w:r>
    </w:p>
    <w:p>
      <w:pPr>
        <w:pStyle w:val="10"/>
        <w:ind w:firstLine="560"/>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2.面试时长：每位考生不得少于20分钟，考生可以自主提出提前结束面试。</w:t>
      </w:r>
    </w:p>
    <w:p>
      <w:pPr>
        <w:pStyle w:val="10"/>
        <w:ind w:firstLine="560"/>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3.复试考生必须于复试当日提前15分钟登陆研究生院指定的网络平台完成身份验证，9:00正式开始面试，首先进行外国语听力与口语测试，包括自我介绍与提问环节。专业基础考核环节采取抽题口述答题方式，考官只听取考生回答，不进行提问和互动，最后进行综合素质面试环节。</w:t>
      </w:r>
    </w:p>
    <w:p>
      <w:pPr>
        <w:pStyle w:val="10"/>
        <w:ind w:firstLine="560"/>
        <w:jc w:val="left"/>
        <w:rPr>
          <w:rFonts w:hint="eastAsia" w:ascii="仿宋" w:hAnsi="仿宋" w:eastAsia="仿宋" w:cs="Arial"/>
          <w:color w:val="000000"/>
          <w:kern w:val="0"/>
          <w:sz w:val="28"/>
          <w:szCs w:val="28"/>
        </w:rPr>
      </w:pPr>
      <w:r>
        <w:rPr>
          <w:rFonts w:hint="eastAsia" w:ascii="仿宋" w:hAnsi="仿宋" w:eastAsia="仿宋" w:cs="Arial"/>
          <w:color w:val="000000"/>
          <w:kern w:val="0"/>
          <w:sz w:val="28"/>
          <w:szCs w:val="28"/>
        </w:rPr>
        <w:t>4.参加复试的所有老师于复试当日提前15分钟到达复试指定的的考场。</w:t>
      </w:r>
    </w:p>
    <w:p>
      <w:pPr>
        <w:widowControl/>
        <w:spacing w:line="480" w:lineRule="auto"/>
        <w:ind w:firstLine="627" w:firstLineChars="200"/>
        <w:jc w:val="left"/>
        <w:rPr>
          <w:rFonts w:ascii="仿宋" w:hAnsi="仿宋" w:eastAsia="仿宋"/>
          <w:b/>
          <w:bCs/>
          <w:color w:val="000000"/>
          <w:spacing w:val="-4"/>
          <w:sz w:val="32"/>
          <w:szCs w:val="32"/>
        </w:rPr>
      </w:pPr>
      <w:r>
        <w:rPr>
          <w:rFonts w:hint="eastAsia" w:ascii="仿宋" w:hAnsi="仿宋" w:eastAsia="仿宋"/>
          <w:b/>
          <w:bCs/>
          <w:color w:val="000000"/>
          <w:spacing w:val="-4"/>
          <w:sz w:val="32"/>
          <w:szCs w:val="32"/>
        </w:rPr>
        <w:t>六、复试成绩计算</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 xml:space="preserve">1.复试成绩总分为 250 分。其中，专业基础考核满分为 100分；综合素质满分为 100 分；外国语听力与口语测试满分为50 分。                     </w:t>
      </w:r>
    </w:p>
    <w:p>
      <w:pPr>
        <w:pStyle w:val="4"/>
        <w:spacing w:before="0" w:beforeAutospacing="0" w:after="0" w:afterAutospacing="0" w:line="456"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 xml:space="preserve">专业基础考核、综合素质及格分均为 60 分，外国语听力与口语测试及格分为 30 分，不及格者不予录取。 </w:t>
      </w: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2.同等学力考生除完成外国语听说能力测试、综合素质和专业基础面试外，还须参加同等学力加试，加试方式以面试小组现场提问作答的形式完成。同等学力的加试业务课成绩，只设合格线（60分），不及格者不予录取，不计入复试总成绩。</w:t>
      </w:r>
    </w:p>
    <w:p>
      <w:pPr>
        <w:ind w:firstLine="560" w:firstLineChars="200"/>
        <w:rPr>
          <w:rFonts w:ascii="仿宋" w:hAnsi="仿宋" w:eastAsia="仿宋" w:cs="Arial"/>
          <w:color w:val="000000"/>
          <w:kern w:val="0"/>
          <w:sz w:val="28"/>
          <w:szCs w:val="28"/>
        </w:rPr>
      </w:pPr>
      <w:r>
        <w:rPr>
          <w:rFonts w:hint="eastAsia" w:ascii="仿宋" w:hAnsi="仿宋" w:eastAsia="仿宋" w:cs="Arial"/>
          <w:color w:val="000000"/>
          <w:sz w:val="28"/>
          <w:szCs w:val="28"/>
        </w:rPr>
        <w:t>3.</w:t>
      </w:r>
      <w:r>
        <w:rPr>
          <w:rFonts w:hint="eastAsia" w:ascii="仿宋" w:hAnsi="仿宋" w:eastAsia="仿宋" w:cs="Arial"/>
          <w:color w:val="000000"/>
          <w:kern w:val="0"/>
          <w:sz w:val="28"/>
          <w:szCs w:val="28"/>
        </w:rPr>
        <w:t>复试总成绩和加试成绩合格者，将复试总成绩和初试成绩按权重计算后相加，得出考生入学考试总成绩。复试总成绩和加试成绩合格者，将复试总成绩和初试成绩按权重计算后相加，得出考生入学考试总成绩。入学考试总成绩计算公式为：（初试分数/初试总分值）*50+（复试总分/250）*50。</w:t>
      </w:r>
    </w:p>
    <w:p>
      <w:pPr>
        <w:widowControl/>
        <w:spacing w:line="480" w:lineRule="auto"/>
        <w:ind w:firstLine="627" w:firstLineChars="200"/>
        <w:jc w:val="left"/>
        <w:rPr>
          <w:rFonts w:ascii="仿宋" w:hAnsi="仿宋" w:eastAsia="仿宋"/>
          <w:b/>
          <w:bCs/>
          <w:color w:val="000000"/>
          <w:spacing w:val="-4"/>
          <w:sz w:val="32"/>
          <w:szCs w:val="32"/>
        </w:rPr>
      </w:pPr>
      <w:r>
        <w:rPr>
          <w:rFonts w:hint="eastAsia" w:ascii="仿宋" w:hAnsi="仿宋" w:eastAsia="仿宋"/>
          <w:b/>
          <w:bCs/>
          <w:color w:val="000000"/>
          <w:spacing w:val="-4"/>
          <w:sz w:val="32"/>
          <w:szCs w:val="32"/>
        </w:rPr>
        <w:t>七、调剂录取原则</w:t>
      </w:r>
    </w:p>
    <w:p>
      <w:pPr>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录取时分专业按考生入学考试总成绩排序，依次录取。</w:t>
      </w:r>
    </w:p>
    <w:p>
      <w:pPr>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复试结果及总成绩排序由学院及时张榜公布。学院根据招生计划、复试录取细则以及考生的思想政治表现和身体健康状况等确定拟录取名单。</w:t>
      </w:r>
    </w:p>
    <w:p>
      <w:pPr>
        <w:spacing w:line="360" w:lineRule="auto"/>
        <w:ind w:firstLine="627" w:firstLineChars="200"/>
        <w:rPr>
          <w:sz w:val="32"/>
          <w:szCs w:val="32"/>
        </w:rPr>
      </w:pPr>
      <w:r>
        <w:rPr>
          <w:rFonts w:hint="eastAsia" w:ascii="仿宋" w:hAnsi="仿宋" w:eastAsia="仿宋"/>
          <w:b/>
          <w:bCs/>
          <w:color w:val="000000"/>
          <w:spacing w:val="-4"/>
          <w:sz w:val="32"/>
          <w:szCs w:val="32"/>
        </w:rPr>
        <w:t>八、信息公开公示及申诉途径</w:t>
      </w:r>
    </w:p>
    <w:p>
      <w:pPr>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本院调剂招生信息在学院网上公开发布，调剂录取名单会在学院网上公示10个工作日，有异议的考生可于公示期内向人文学院研究生办公室以书面形式进行反映，反映情况要求实事求是，以便调查核实。人文学院申诉电话：0791-83968827（工作时间接听），联系人：舒老师，</w:t>
      </w:r>
      <w:r>
        <w:fldChar w:fldCharType="begin"/>
      </w:r>
      <w:r>
        <w:instrText xml:space="preserve"> HYPERLINK "mailto:邮箱794161373@qq.com" </w:instrText>
      </w:r>
      <w:r>
        <w:fldChar w:fldCharType="separate"/>
      </w:r>
      <w:r>
        <w:rPr>
          <w:rFonts w:hint="eastAsia" w:ascii="仿宋" w:hAnsi="仿宋" w:eastAsia="仿宋" w:cs="Arial"/>
          <w:color w:val="000000"/>
          <w:kern w:val="0"/>
          <w:sz w:val="28"/>
          <w:szCs w:val="28"/>
        </w:rPr>
        <w:t>邮箱：729919370@qq.com</w:t>
      </w:r>
      <w:r>
        <w:rPr>
          <w:rFonts w:hint="eastAsia" w:ascii="仿宋" w:hAnsi="仿宋" w:eastAsia="仿宋" w:cs="Arial"/>
          <w:color w:val="000000"/>
          <w:kern w:val="0"/>
          <w:sz w:val="28"/>
          <w:szCs w:val="28"/>
        </w:rPr>
        <w:fldChar w:fldCharType="end"/>
      </w:r>
      <w:r>
        <w:rPr>
          <w:rFonts w:hint="eastAsia" w:ascii="仿宋" w:hAnsi="仿宋" w:eastAsia="仿宋" w:cs="Arial"/>
          <w:color w:val="000000"/>
          <w:kern w:val="0"/>
          <w:sz w:val="28"/>
          <w:szCs w:val="28"/>
        </w:rPr>
        <w:t>。</w:t>
      </w:r>
    </w:p>
    <w:p>
      <w:pPr>
        <w:ind w:firstLine="600" w:firstLineChars="200"/>
        <w:rPr>
          <w:rFonts w:ascii="仿宋" w:hAnsi="仿宋" w:eastAsia="仿宋" w:cs="仿宋"/>
          <w:sz w:val="30"/>
          <w:szCs w:val="30"/>
        </w:rPr>
      </w:pPr>
    </w:p>
    <w:p>
      <w:pPr>
        <w:ind w:firstLine="560" w:firstLineChars="200"/>
        <w:rPr>
          <w:rFonts w:ascii="仿宋" w:hAnsi="仿宋" w:eastAsia="仿宋" w:cs="Arial"/>
          <w:color w:val="000000"/>
          <w:kern w:val="0"/>
          <w:sz w:val="28"/>
          <w:szCs w:val="28"/>
        </w:rPr>
      </w:pPr>
    </w:p>
    <w:p>
      <w:pPr>
        <w:spacing w:line="360" w:lineRule="auto"/>
        <w:ind w:firstLine="360" w:firstLineChars="150"/>
        <w:rPr>
          <w:rFonts w:ascii="宋体" w:hAnsi="宋体" w:eastAsia="宋体" w:cs="宋体"/>
          <w:sz w:val="24"/>
          <w:szCs w:val="24"/>
        </w:rPr>
      </w:pPr>
    </w:p>
    <w:p>
      <w:pPr>
        <w:spacing w:line="360" w:lineRule="auto"/>
        <w:ind w:firstLine="5400" w:firstLineChars="1800"/>
        <w:rPr>
          <w:rFonts w:ascii="宋体" w:hAnsi="宋体" w:eastAsia="宋体" w:cs="宋体"/>
          <w:sz w:val="30"/>
          <w:szCs w:val="30"/>
        </w:rPr>
      </w:pPr>
    </w:p>
    <w:p>
      <w:pPr>
        <w:spacing w:line="360" w:lineRule="auto"/>
        <w:ind w:firstLine="5700" w:firstLineChars="1900"/>
        <w:rPr>
          <w:rFonts w:ascii="宋体" w:hAnsi="宋体" w:eastAsia="宋体" w:cs="宋体"/>
          <w:sz w:val="30"/>
          <w:szCs w:val="30"/>
        </w:rPr>
      </w:pPr>
      <w:r>
        <w:rPr>
          <w:rFonts w:hint="eastAsia" w:ascii="宋体" w:hAnsi="宋体" w:eastAsia="宋体" w:cs="宋体"/>
          <w:sz w:val="30"/>
          <w:szCs w:val="30"/>
        </w:rPr>
        <w:t>南昌大学人文学院</w:t>
      </w:r>
    </w:p>
    <w:p>
      <w:pPr>
        <w:spacing w:line="360" w:lineRule="auto"/>
        <w:ind w:firstLine="6000" w:firstLineChars="2000"/>
        <w:rPr>
          <w:rFonts w:ascii="宋体" w:hAnsi="宋体" w:eastAsia="宋体" w:cs="宋体"/>
          <w:sz w:val="30"/>
          <w:szCs w:val="30"/>
        </w:rPr>
      </w:pPr>
      <w:r>
        <w:rPr>
          <w:rFonts w:hint="eastAsia" w:ascii="宋体" w:hAnsi="宋体" w:eastAsia="宋体" w:cs="宋体"/>
          <w:sz w:val="30"/>
          <w:szCs w:val="30"/>
        </w:rPr>
        <w:t>2021年4月1日</w:t>
      </w:r>
    </w:p>
    <w:p>
      <w:pPr>
        <w:pStyle w:val="4"/>
        <w:spacing w:before="0" w:beforeAutospacing="0" w:after="0" w:afterAutospacing="0" w:line="360" w:lineRule="auto"/>
        <w:ind w:firstLine="480"/>
        <w:jc w:val="both"/>
        <w:rPr>
          <w:rFonts w:ascii="Calibri" w:hAnsi="Calibri" w:cs="Calibri"/>
        </w:rPr>
      </w:pPr>
    </w:p>
    <w:p>
      <w:pPr>
        <w:pStyle w:val="4"/>
        <w:spacing w:before="0" w:beforeAutospacing="0" w:after="0" w:afterAutospacing="0" w:line="456" w:lineRule="auto"/>
        <w:ind w:firstLine="560"/>
        <w:rPr>
          <w:rFonts w:ascii="仿宋" w:hAnsi="仿宋" w:eastAsia="仿宋" w:cs="Arial"/>
          <w:color w:val="000000"/>
          <w:sz w:val="28"/>
          <w:szCs w:val="28"/>
        </w:rPr>
      </w:pPr>
      <w:r>
        <w:rPr>
          <w:rFonts w:hint="eastAsia" w:ascii="仿宋" w:hAnsi="仿宋" w:eastAsia="仿宋" w:cs="Arial"/>
          <w:color w:val="000000"/>
          <w:sz w:val="28"/>
          <w:szCs w:val="28"/>
        </w:rPr>
        <w:t>。</w:t>
      </w:r>
    </w:p>
    <w:p>
      <w:pPr>
        <w:pStyle w:val="4"/>
        <w:spacing w:before="0" w:beforeAutospacing="0" w:after="0" w:afterAutospacing="0" w:line="456" w:lineRule="auto"/>
        <w:ind w:firstLine="560"/>
        <w:rPr>
          <w:rFonts w:ascii="仿宋" w:hAnsi="仿宋" w:eastAsia="仿宋" w:cs="Arial"/>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50E4E"/>
    <w:multiLevelType w:val="singleLevel"/>
    <w:tmpl w:val="8F850E4E"/>
    <w:lvl w:ilvl="0" w:tentative="0">
      <w:start w:val="2"/>
      <w:numFmt w:val="chineseCounting"/>
      <w:suff w:val="nothing"/>
      <w:lvlText w:val="%1、"/>
      <w:lvlJc w:val="left"/>
      <w:rPr>
        <w:rFonts w:hint="eastAsia"/>
      </w:rPr>
    </w:lvl>
  </w:abstractNum>
  <w:abstractNum w:abstractNumId="1">
    <w:nsid w:val="AF1BE31F"/>
    <w:multiLevelType w:val="singleLevel"/>
    <w:tmpl w:val="AF1BE31F"/>
    <w:lvl w:ilvl="0" w:tentative="0">
      <w:start w:val="1"/>
      <w:numFmt w:val="decimal"/>
      <w:lvlText w:val="%1."/>
      <w:lvlJc w:val="left"/>
      <w:pPr>
        <w:tabs>
          <w:tab w:val="left" w:pos="312"/>
        </w:tabs>
        <w:ind w:left="-90"/>
      </w:pPr>
    </w:lvl>
  </w:abstractNum>
  <w:abstractNum w:abstractNumId="2">
    <w:nsid w:val="5AB4176C"/>
    <w:multiLevelType w:val="singleLevel"/>
    <w:tmpl w:val="5AB4176C"/>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E6445"/>
    <w:rsid w:val="000D6E02"/>
    <w:rsid w:val="000F42F5"/>
    <w:rsid w:val="00226FBB"/>
    <w:rsid w:val="004F5A86"/>
    <w:rsid w:val="005E6865"/>
    <w:rsid w:val="00672D68"/>
    <w:rsid w:val="007A3C1F"/>
    <w:rsid w:val="009D436F"/>
    <w:rsid w:val="00A050E4"/>
    <w:rsid w:val="00B47B37"/>
    <w:rsid w:val="00B9118D"/>
    <w:rsid w:val="00C7686B"/>
    <w:rsid w:val="00E078E2"/>
    <w:rsid w:val="00F04EDD"/>
    <w:rsid w:val="00F14807"/>
    <w:rsid w:val="00F60E8B"/>
    <w:rsid w:val="02A859B9"/>
    <w:rsid w:val="030B6F22"/>
    <w:rsid w:val="04D1775D"/>
    <w:rsid w:val="04F137D0"/>
    <w:rsid w:val="06FB6896"/>
    <w:rsid w:val="08CD5797"/>
    <w:rsid w:val="0905084F"/>
    <w:rsid w:val="0AF671C5"/>
    <w:rsid w:val="0BA71E33"/>
    <w:rsid w:val="0F432BDB"/>
    <w:rsid w:val="109158C1"/>
    <w:rsid w:val="122B0DA9"/>
    <w:rsid w:val="12845322"/>
    <w:rsid w:val="13763690"/>
    <w:rsid w:val="14F5386B"/>
    <w:rsid w:val="15A516F5"/>
    <w:rsid w:val="16795302"/>
    <w:rsid w:val="16D12AD5"/>
    <w:rsid w:val="198608D2"/>
    <w:rsid w:val="199346BF"/>
    <w:rsid w:val="1DB25708"/>
    <w:rsid w:val="1FB257CE"/>
    <w:rsid w:val="2575359E"/>
    <w:rsid w:val="298B0F53"/>
    <w:rsid w:val="298B7396"/>
    <w:rsid w:val="2A32393A"/>
    <w:rsid w:val="2BF558E0"/>
    <w:rsid w:val="2E683F6A"/>
    <w:rsid w:val="2EBF1ADF"/>
    <w:rsid w:val="2F651E44"/>
    <w:rsid w:val="32CD06FA"/>
    <w:rsid w:val="33C970C0"/>
    <w:rsid w:val="35CC171B"/>
    <w:rsid w:val="35D47680"/>
    <w:rsid w:val="387C2A80"/>
    <w:rsid w:val="3A4345C6"/>
    <w:rsid w:val="3A466FFB"/>
    <w:rsid w:val="3B123F26"/>
    <w:rsid w:val="3B7A6D3E"/>
    <w:rsid w:val="3CCC3828"/>
    <w:rsid w:val="3F2802A6"/>
    <w:rsid w:val="41843369"/>
    <w:rsid w:val="43496679"/>
    <w:rsid w:val="44537023"/>
    <w:rsid w:val="456E4468"/>
    <w:rsid w:val="467475AC"/>
    <w:rsid w:val="46D55AE8"/>
    <w:rsid w:val="49FA4911"/>
    <w:rsid w:val="4A347FD8"/>
    <w:rsid w:val="4AFF754B"/>
    <w:rsid w:val="4CB15945"/>
    <w:rsid w:val="4CBB0BEE"/>
    <w:rsid w:val="4D65657A"/>
    <w:rsid w:val="4F4154E7"/>
    <w:rsid w:val="4FD665E9"/>
    <w:rsid w:val="51B75278"/>
    <w:rsid w:val="52167D3C"/>
    <w:rsid w:val="52282F30"/>
    <w:rsid w:val="5336214F"/>
    <w:rsid w:val="534509C5"/>
    <w:rsid w:val="58A929E1"/>
    <w:rsid w:val="59D00CD4"/>
    <w:rsid w:val="5A5E3592"/>
    <w:rsid w:val="5B144A93"/>
    <w:rsid w:val="5B1D2F0C"/>
    <w:rsid w:val="5E253386"/>
    <w:rsid w:val="613A1DAA"/>
    <w:rsid w:val="61A2793F"/>
    <w:rsid w:val="61F41260"/>
    <w:rsid w:val="63B95AC7"/>
    <w:rsid w:val="64AD316F"/>
    <w:rsid w:val="665E5AC0"/>
    <w:rsid w:val="67CB6FCB"/>
    <w:rsid w:val="68753D44"/>
    <w:rsid w:val="6928135A"/>
    <w:rsid w:val="694E47B0"/>
    <w:rsid w:val="6A3F3F38"/>
    <w:rsid w:val="6AFF0EBB"/>
    <w:rsid w:val="6DE05796"/>
    <w:rsid w:val="6EB82ECC"/>
    <w:rsid w:val="6F4E00FB"/>
    <w:rsid w:val="714E1319"/>
    <w:rsid w:val="71B858DF"/>
    <w:rsid w:val="71CF7B09"/>
    <w:rsid w:val="71D614CE"/>
    <w:rsid w:val="72B03365"/>
    <w:rsid w:val="72FF1701"/>
    <w:rsid w:val="73187CE4"/>
    <w:rsid w:val="74C91DD9"/>
    <w:rsid w:val="74E67B30"/>
    <w:rsid w:val="77525893"/>
    <w:rsid w:val="77567D9F"/>
    <w:rsid w:val="77A923B1"/>
    <w:rsid w:val="78196EC1"/>
    <w:rsid w:val="7A2E6445"/>
    <w:rsid w:val="7AF451D8"/>
    <w:rsid w:val="7B256E23"/>
    <w:rsid w:val="7CAB5A8B"/>
    <w:rsid w:val="7CE02D7A"/>
    <w:rsid w:val="7D00011A"/>
    <w:rsid w:val="7EDB6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paragraph" w:styleId="10">
    <w:name w:val="List Paragraph"/>
    <w:basedOn w:val="1"/>
    <w:qFormat/>
    <w:uiPriority w:val="34"/>
    <w:pPr>
      <w:ind w:firstLine="420" w:firstLineChars="200"/>
    </w:pPr>
  </w:style>
  <w:style w:type="character" w:customStyle="1" w:styleId="11">
    <w:name w:val="页眉 Char"/>
    <w:basedOn w:val="7"/>
    <w:link w:val="3"/>
    <w:qFormat/>
    <w:uiPriority w:val="0"/>
    <w:rPr>
      <w:rFonts w:asciiTheme="minorHAnsi" w:hAnsiTheme="minorHAnsi" w:eastAsiaTheme="minorEastAsia" w:cstheme="minorBidi"/>
      <w:kern w:val="2"/>
      <w:sz w:val="18"/>
      <w:szCs w:val="18"/>
    </w:rPr>
  </w:style>
  <w:style w:type="character" w:customStyle="1" w:styleId="12">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425</Words>
  <Characters>2427</Characters>
  <Lines>20</Lines>
  <Paragraphs>5</Paragraphs>
  <TotalTime>104</TotalTime>
  <ScaleCrop>false</ScaleCrop>
  <LinksUpToDate>false</LinksUpToDate>
  <CharactersWithSpaces>2847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2021-04-01T10:40:00Z</dcterms:created>
  <dc:creator>= =</dc:creator>
  <cp:lastModifiedBy>= =</cp:lastModifiedBy>
  <cp:lastPrinted>2021-04-02T01:22:48Z</cp:lastPrinted>
  <dcterms:modified xsi:type="dcterms:W3CDTF">2021-04-02T02:34:01Z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FC78731FE99F496A8B3BF36F22C38CA0</vt:lpwstr>
  </property>
</Properties>
</file>