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72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1073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7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89"/>
              </w:tabs>
              <w:jc w:val="left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ab/>
              <w:t>上海师范大学2022年硕士研究生招生体育学院初试参考书目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07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346 体育综合</w:t>
            </w:r>
          </w:p>
        </w:tc>
        <w:tc>
          <w:tcPr>
            <w:tcW w:w="107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2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678 体育学基础综合</w:t>
            </w:r>
          </w:p>
        </w:tc>
        <w:tc>
          <w:tcPr>
            <w:tcW w:w="107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《体育概论（第二版）》杨文轩、陈琦主编，高教出版社，2013。 《运动生理学（第三版）》邓树勋主编，高等教育出版社，2015。 《运动训练学》田麦久主编，高等教育出版社，2006。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2022-03-11T09:32:05Z</dcterms:created>
  <dc:creator>胡珂</dc:creator>
  <cp:lastModifiedBy>胡珂</cp:lastModifiedBy>
  <dcterms:modified xsi:type="dcterms:W3CDTF">2022-03-11T09:33:21Z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D3D7119659CE4C35A8C047E74379C476</vt:lpwstr>
  </property>
</Properties>
</file>