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E4" w:rsidRPr="006E47FF" w:rsidRDefault="000335E4" w:rsidP="000335E4">
      <w:pPr>
        <w:widowControl/>
        <w:jc w:val="center"/>
        <w:rPr>
          <w:rFonts w:ascii="宋体" w:hAnsi="宋体"/>
          <w:b/>
          <w:bCs/>
          <w:snapToGrid w:val="0"/>
          <w:color w:val="000000" w:themeColor="text1"/>
          <w:kern w:val="0"/>
          <w:sz w:val="36"/>
          <w:szCs w:val="36"/>
        </w:rPr>
      </w:pPr>
      <w:r w:rsidRPr="006E47FF">
        <w:rPr>
          <w:rFonts w:ascii="宋体" w:hAnsi="宋体" w:hint="eastAsia"/>
          <w:b/>
          <w:bCs/>
          <w:snapToGrid w:val="0"/>
          <w:color w:val="000000" w:themeColor="text1"/>
          <w:kern w:val="0"/>
          <w:sz w:val="36"/>
          <w:szCs w:val="36"/>
        </w:rPr>
        <w:t>中国矿业大学（北京）</w:t>
      </w:r>
    </w:p>
    <w:p w:rsidR="000335E4" w:rsidRPr="006E47FF" w:rsidRDefault="00862878" w:rsidP="000335E4">
      <w:pPr>
        <w:widowControl/>
        <w:jc w:val="center"/>
        <w:rPr>
          <w:rFonts w:ascii="宋体" w:hAnsi="宋体"/>
          <w:b/>
          <w:bCs/>
          <w:snapToGrid w:val="0"/>
          <w:color w:val="000000" w:themeColor="text1"/>
          <w:kern w:val="0"/>
          <w:sz w:val="36"/>
          <w:szCs w:val="36"/>
        </w:rPr>
      </w:pPr>
      <w:r>
        <w:rPr>
          <w:rFonts w:ascii="宋体" w:hAnsi="宋体" w:hint="eastAsia"/>
          <w:b/>
          <w:bCs/>
          <w:snapToGrid w:val="0"/>
          <w:color w:val="000000" w:themeColor="text1"/>
          <w:kern w:val="0"/>
          <w:sz w:val="36"/>
          <w:szCs w:val="36"/>
        </w:rPr>
        <w:t>关于</w:t>
      </w:r>
      <w:r w:rsidR="000335E4">
        <w:rPr>
          <w:rFonts w:ascii="宋体" w:hAnsi="宋体" w:hint="eastAsia"/>
          <w:b/>
          <w:bCs/>
          <w:snapToGrid w:val="0"/>
          <w:color w:val="000000" w:themeColor="text1"/>
          <w:kern w:val="0"/>
          <w:sz w:val="36"/>
          <w:szCs w:val="36"/>
        </w:rPr>
        <w:t>研究生学位论文预答辩</w:t>
      </w:r>
      <w:r>
        <w:rPr>
          <w:rFonts w:ascii="宋体" w:hAnsi="宋体" w:hint="eastAsia"/>
          <w:b/>
          <w:bCs/>
          <w:snapToGrid w:val="0"/>
          <w:color w:val="000000" w:themeColor="text1"/>
          <w:kern w:val="0"/>
          <w:sz w:val="36"/>
          <w:szCs w:val="36"/>
        </w:rPr>
        <w:t>管理</w:t>
      </w:r>
      <w:r w:rsidR="00396FE1">
        <w:rPr>
          <w:rFonts w:ascii="宋体" w:hAnsi="宋体" w:hint="eastAsia"/>
          <w:b/>
          <w:bCs/>
          <w:snapToGrid w:val="0"/>
          <w:color w:val="000000" w:themeColor="text1"/>
          <w:kern w:val="0"/>
          <w:sz w:val="36"/>
          <w:szCs w:val="36"/>
        </w:rPr>
        <w:t>办法</w:t>
      </w:r>
      <w:r>
        <w:rPr>
          <w:rFonts w:ascii="宋体" w:hAnsi="宋体" w:hint="eastAsia"/>
          <w:b/>
          <w:bCs/>
          <w:snapToGrid w:val="0"/>
          <w:color w:val="000000" w:themeColor="text1"/>
          <w:kern w:val="0"/>
          <w:sz w:val="36"/>
          <w:szCs w:val="36"/>
        </w:rPr>
        <w:t>（试行）</w:t>
      </w:r>
    </w:p>
    <w:p w:rsidR="000335E4" w:rsidRDefault="000335E4" w:rsidP="000335E4">
      <w:pPr>
        <w:pStyle w:val="a4"/>
        <w:numPr>
          <w:ilvl w:val="0"/>
          <w:numId w:val="2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_GB2312" w:eastAsia="仿宋_GB2312" w:cs="Times New Roman" w:hint="eastAsia"/>
          <w:color w:val="auto"/>
          <w:sz w:val="32"/>
          <w:szCs w:val="32"/>
        </w:rPr>
        <w:t>为</w:t>
      </w:r>
      <w:r w:rsidRPr="003150A1">
        <w:rPr>
          <w:rFonts w:ascii="仿宋_GB2312" w:eastAsia="仿宋_GB2312" w:cs="Times New Roman" w:hint="eastAsia"/>
          <w:color w:val="auto"/>
          <w:sz w:val="32"/>
          <w:szCs w:val="32"/>
        </w:rPr>
        <w:t>提高</w:t>
      </w:r>
      <w:r>
        <w:rPr>
          <w:rFonts w:ascii="仿宋_GB2312" w:eastAsia="仿宋_GB2312" w:cs="Times New Roman" w:hint="eastAsia"/>
          <w:color w:val="auto"/>
          <w:sz w:val="32"/>
          <w:szCs w:val="32"/>
        </w:rPr>
        <w:t>研究生</w:t>
      </w:r>
      <w:r w:rsidRPr="003150A1">
        <w:rPr>
          <w:rFonts w:ascii="仿宋_GB2312" w:eastAsia="仿宋_GB2312" w:cs="Times New Roman" w:hint="eastAsia"/>
          <w:color w:val="auto"/>
          <w:sz w:val="32"/>
          <w:szCs w:val="32"/>
        </w:rPr>
        <w:t>学位论文水平，保证</w:t>
      </w:r>
      <w:r>
        <w:rPr>
          <w:rFonts w:ascii="仿宋_GB2312" w:eastAsia="仿宋_GB2312" w:cs="Times New Roman" w:hint="eastAsia"/>
          <w:color w:val="auto"/>
          <w:sz w:val="32"/>
          <w:szCs w:val="32"/>
        </w:rPr>
        <w:t>研究生</w:t>
      </w:r>
      <w:r w:rsidRPr="003150A1">
        <w:rPr>
          <w:rFonts w:ascii="仿宋_GB2312" w:eastAsia="仿宋_GB2312" w:cs="Times New Roman" w:hint="eastAsia"/>
          <w:color w:val="auto"/>
          <w:sz w:val="32"/>
          <w:szCs w:val="32"/>
        </w:rPr>
        <w:t>学位授予质量，健全和完善学位论文的质量监控体系</w:t>
      </w:r>
      <w:r>
        <w:rPr>
          <w:rFonts w:ascii="仿宋_GB2312" w:eastAsia="仿宋_GB2312" w:cs="Times New Roman" w:hint="eastAsia"/>
          <w:color w:val="auto"/>
          <w:sz w:val="32"/>
          <w:szCs w:val="32"/>
        </w:rPr>
        <w:t>。根据《中国矿业大学（北京）学位授予</w:t>
      </w:r>
      <w:r w:rsidR="009504D8">
        <w:rPr>
          <w:rFonts w:ascii="仿宋_GB2312" w:eastAsia="仿宋_GB2312" w:cs="Times New Roman" w:hint="eastAsia"/>
          <w:color w:val="auto"/>
          <w:sz w:val="32"/>
          <w:szCs w:val="32"/>
        </w:rPr>
        <w:t>工作</w:t>
      </w:r>
      <w:r>
        <w:rPr>
          <w:rFonts w:ascii="仿宋_GB2312" w:eastAsia="仿宋_GB2312" w:cs="Times New Roman" w:hint="eastAsia"/>
          <w:color w:val="auto"/>
          <w:sz w:val="32"/>
          <w:szCs w:val="32"/>
        </w:rPr>
        <w:t>细则》，结合我校实际情况，特制定本办法。</w:t>
      </w:r>
    </w:p>
    <w:p w:rsidR="00A0560E" w:rsidRDefault="000335E4" w:rsidP="00A0560E">
      <w:pPr>
        <w:pStyle w:val="a4"/>
        <w:numPr>
          <w:ilvl w:val="0"/>
          <w:numId w:val="2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 w:rsidRPr="00DC297E">
        <w:rPr>
          <w:rFonts w:ascii="仿宋_GB2312" w:eastAsia="仿宋_GB2312" w:cs="Times New Roman" w:hint="eastAsia"/>
          <w:color w:val="auto"/>
          <w:sz w:val="32"/>
          <w:szCs w:val="32"/>
        </w:rPr>
        <w:t>学位论文预答辩是保证学位论文质量的重要环节,也是提高学位论文水平的有效措施。</w:t>
      </w:r>
      <w:r w:rsidR="0078714B">
        <w:rPr>
          <w:rFonts w:ascii="仿宋_GB2312" w:eastAsia="仿宋_GB2312" w:cs="Times New Roman" w:hint="eastAsia"/>
          <w:color w:val="auto"/>
          <w:sz w:val="32"/>
          <w:szCs w:val="32"/>
        </w:rPr>
        <w:t>预答辩</w:t>
      </w:r>
      <w:r w:rsidR="00A0560E">
        <w:rPr>
          <w:rFonts w:ascii="仿宋_GB2312" w:eastAsia="仿宋_GB2312" w:cs="Times New Roman" w:hint="eastAsia"/>
          <w:color w:val="auto"/>
          <w:sz w:val="32"/>
          <w:szCs w:val="32"/>
        </w:rPr>
        <w:t>的目的是</w:t>
      </w:r>
      <w:r w:rsidR="002E0F31">
        <w:rPr>
          <w:rFonts w:ascii="仿宋_GB2312" w:eastAsia="仿宋_GB2312" w:cs="Times New Roman" w:hint="eastAsia"/>
          <w:color w:val="auto"/>
          <w:sz w:val="32"/>
          <w:szCs w:val="32"/>
        </w:rPr>
        <w:t>在</w:t>
      </w:r>
      <w:r w:rsidR="00A0560E">
        <w:rPr>
          <w:rFonts w:ascii="仿宋_GB2312" w:eastAsia="仿宋_GB2312" w:cs="Times New Roman" w:hint="eastAsia"/>
          <w:color w:val="auto"/>
          <w:sz w:val="32"/>
          <w:szCs w:val="32"/>
        </w:rPr>
        <w:t>研究生申请学位前对学位</w:t>
      </w:r>
      <w:r w:rsidR="00480364">
        <w:rPr>
          <w:rFonts w:ascii="仿宋_GB2312" w:eastAsia="仿宋_GB2312" w:cs="Times New Roman" w:hint="eastAsia"/>
          <w:color w:val="auto"/>
          <w:sz w:val="32"/>
          <w:szCs w:val="32"/>
        </w:rPr>
        <w:t>论文</w:t>
      </w:r>
      <w:r w:rsidR="0006179C">
        <w:rPr>
          <w:rFonts w:ascii="仿宋_GB2312" w:eastAsia="仿宋_GB2312" w:cs="Times New Roman" w:hint="eastAsia"/>
          <w:color w:val="auto"/>
          <w:sz w:val="32"/>
          <w:szCs w:val="32"/>
        </w:rPr>
        <w:t>进行</w:t>
      </w:r>
      <w:r w:rsidR="003D6D6D">
        <w:rPr>
          <w:rFonts w:ascii="仿宋_GB2312" w:eastAsia="仿宋_GB2312" w:cs="Times New Roman" w:hint="eastAsia"/>
          <w:color w:val="auto"/>
          <w:sz w:val="32"/>
          <w:szCs w:val="32"/>
        </w:rPr>
        <w:t>的</w:t>
      </w:r>
      <w:r w:rsidR="005F018E">
        <w:rPr>
          <w:rFonts w:ascii="仿宋_GB2312" w:eastAsia="仿宋_GB2312" w:cs="Times New Roman" w:hint="eastAsia"/>
          <w:color w:val="auto"/>
          <w:sz w:val="32"/>
          <w:szCs w:val="32"/>
        </w:rPr>
        <w:t>一次</w:t>
      </w:r>
      <w:r w:rsidR="0006179C">
        <w:rPr>
          <w:rFonts w:ascii="仿宋_GB2312" w:eastAsia="仿宋_GB2312" w:cs="Times New Roman" w:hint="eastAsia"/>
          <w:color w:val="auto"/>
          <w:sz w:val="32"/>
          <w:szCs w:val="32"/>
        </w:rPr>
        <w:t>集体指导</w:t>
      </w:r>
      <w:r w:rsidR="008C3065">
        <w:rPr>
          <w:rFonts w:ascii="仿宋_GB2312" w:eastAsia="仿宋_GB2312" w:cs="Times New Roman" w:hint="eastAsia"/>
          <w:color w:val="auto"/>
          <w:sz w:val="32"/>
          <w:szCs w:val="32"/>
        </w:rPr>
        <w:t>，</w:t>
      </w:r>
      <w:r w:rsidR="00480364">
        <w:rPr>
          <w:rFonts w:ascii="仿宋_GB2312" w:eastAsia="仿宋_GB2312" w:cs="Times New Roman" w:hint="eastAsia"/>
          <w:color w:val="auto"/>
          <w:sz w:val="32"/>
          <w:szCs w:val="32"/>
        </w:rPr>
        <w:t>查找学位论文中存在的主要问题，帮助研究生进一步修改</w:t>
      </w:r>
      <w:r w:rsidR="00A0560E">
        <w:rPr>
          <w:rFonts w:ascii="仿宋_GB2312" w:eastAsia="仿宋_GB2312" w:cs="Times New Roman" w:hint="eastAsia"/>
          <w:color w:val="auto"/>
          <w:sz w:val="32"/>
          <w:szCs w:val="32"/>
        </w:rPr>
        <w:t>完善学位论文。</w:t>
      </w:r>
    </w:p>
    <w:p w:rsidR="005E40C7" w:rsidRDefault="005E40C7" w:rsidP="00A0560E">
      <w:pPr>
        <w:pStyle w:val="a4"/>
        <w:numPr>
          <w:ilvl w:val="0"/>
          <w:numId w:val="2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_GB2312" w:eastAsia="仿宋_GB2312" w:cs="Times New Roman" w:hint="eastAsia"/>
          <w:color w:val="auto"/>
          <w:sz w:val="32"/>
          <w:szCs w:val="32"/>
        </w:rPr>
        <w:t>预答辩在学校的统一要求下，由学院、学科具体组织实施</w:t>
      </w:r>
      <w:r w:rsidR="00C60774">
        <w:rPr>
          <w:rFonts w:ascii="仿宋_GB2312" w:eastAsia="仿宋_GB2312" w:cs="Times New Roman" w:hint="eastAsia"/>
          <w:color w:val="auto"/>
          <w:sz w:val="32"/>
          <w:szCs w:val="32"/>
        </w:rPr>
        <w:t>。</w:t>
      </w:r>
    </w:p>
    <w:p w:rsidR="00A0560E" w:rsidRDefault="000335E4" w:rsidP="00A0560E">
      <w:pPr>
        <w:pStyle w:val="a4"/>
        <w:numPr>
          <w:ilvl w:val="0"/>
          <w:numId w:val="2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 w:rsidRPr="00DC297E">
        <w:rPr>
          <w:rFonts w:ascii="仿宋_GB2312" w:eastAsia="仿宋_GB2312" w:cs="Times New Roman" w:hint="eastAsia"/>
          <w:color w:val="auto"/>
          <w:sz w:val="32"/>
          <w:szCs w:val="32"/>
        </w:rPr>
        <w:t>所有申请</w:t>
      </w:r>
      <w:r w:rsidR="00DC297E">
        <w:rPr>
          <w:rFonts w:ascii="仿宋_GB2312" w:eastAsia="仿宋_GB2312" w:cs="Times New Roman" w:hint="eastAsia"/>
          <w:color w:val="auto"/>
          <w:sz w:val="32"/>
          <w:szCs w:val="32"/>
        </w:rPr>
        <w:t>博士、硕士</w:t>
      </w:r>
      <w:r w:rsidRPr="00DC297E">
        <w:rPr>
          <w:rFonts w:ascii="仿宋_GB2312" w:eastAsia="仿宋_GB2312" w:cs="Times New Roman" w:hint="eastAsia"/>
          <w:color w:val="auto"/>
          <w:sz w:val="32"/>
          <w:szCs w:val="32"/>
        </w:rPr>
        <w:t>学位人员均需参加论文预答辩，预答辩</w:t>
      </w:r>
      <w:r w:rsidR="00057716">
        <w:rPr>
          <w:rFonts w:ascii="仿宋_GB2312" w:eastAsia="仿宋_GB2312" w:cs="Times New Roman" w:hint="eastAsia"/>
          <w:color w:val="auto"/>
          <w:sz w:val="32"/>
          <w:szCs w:val="32"/>
        </w:rPr>
        <w:t>未</w:t>
      </w:r>
      <w:r w:rsidRPr="00DC297E">
        <w:rPr>
          <w:rFonts w:ascii="仿宋_GB2312" w:eastAsia="仿宋_GB2312" w:cs="Times New Roman" w:hint="eastAsia"/>
          <w:color w:val="auto"/>
          <w:sz w:val="32"/>
          <w:szCs w:val="32"/>
        </w:rPr>
        <w:t>通过者不得进行学位论文的评审与答辩。</w:t>
      </w:r>
    </w:p>
    <w:p w:rsidR="00A0560E" w:rsidRDefault="007E5C1F" w:rsidP="00A0560E">
      <w:pPr>
        <w:pStyle w:val="a4"/>
        <w:numPr>
          <w:ilvl w:val="0"/>
          <w:numId w:val="2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_GB2312" w:eastAsia="仿宋_GB2312" w:cs="Times New Roman" w:hint="eastAsia"/>
          <w:color w:val="auto"/>
          <w:sz w:val="32"/>
          <w:szCs w:val="32"/>
        </w:rPr>
        <w:t>研究生完成相应学位、学科的培养计划</w:t>
      </w:r>
      <w:r w:rsidR="005D0A6E">
        <w:rPr>
          <w:rFonts w:ascii="仿宋_GB2312" w:eastAsia="仿宋_GB2312" w:cs="Times New Roman" w:hint="eastAsia"/>
          <w:color w:val="auto"/>
          <w:sz w:val="32"/>
          <w:szCs w:val="32"/>
        </w:rPr>
        <w:t>及</w:t>
      </w:r>
      <w:r w:rsidR="003D6D6D">
        <w:rPr>
          <w:rFonts w:ascii="仿宋_GB2312" w:eastAsia="仿宋_GB2312" w:cs="Times New Roman" w:hint="eastAsia"/>
          <w:color w:val="auto"/>
          <w:sz w:val="32"/>
          <w:szCs w:val="32"/>
        </w:rPr>
        <w:t>其他</w:t>
      </w:r>
      <w:r w:rsidR="005D0A6E">
        <w:rPr>
          <w:rFonts w:ascii="仿宋_GB2312" w:eastAsia="仿宋_GB2312" w:cs="Times New Roman" w:hint="eastAsia"/>
          <w:color w:val="auto"/>
          <w:sz w:val="32"/>
          <w:szCs w:val="32"/>
        </w:rPr>
        <w:t>相关</w:t>
      </w:r>
      <w:r>
        <w:rPr>
          <w:rFonts w:ascii="仿宋_GB2312" w:eastAsia="仿宋_GB2312" w:cs="Times New Roman" w:hint="eastAsia"/>
          <w:color w:val="auto"/>
          <w:sz w:val="32"/>
          <w:szCs w:val="32"/>
        </w:rPr>
        <w:t>要求，</w:t>
      </w:r>
      <w:r w:rsidR="003D6D6D">
        <w:rPr>
          <w:rFonts w:ascii="仿宋_GB2312" w:eastAsia="仿宋_GB2312" w:cs="Times New Roman" w:hint="eastAsia"/>
          <w:color w:val="auto"/>
          <w:sz w:val="32"/>
          <w:szCs w:val="32"/>
        </w:rPr>
        <w:t>并</w:t>
      </w:r>
      <w:r>
        <w:rPr>
          <w:rFonts w:ascii="仿宋_GB2312" w:eastAsia="仿宋_GB2312" w:cs="Times New Roman" w:hint="eastAsia"/>
          <w:color w:val="auto"/>
          <w:sz w:val="32"/>
          <w:szCs w:val="32"/>
        </w:rPr>
        <w:t>完成学位论文撰写，经导师同意</w:t>
      </w:r>
      <w:r w:rsidR="006123C4">
        <w:rPr>
          <w:rFonts w:ascii="仿宋_GB2312" w:eastAsia="仿宋_GB2312" w:cs="Times New Roman" w:hint="eastAsia"/>
          <w:color w:val="auto"/>
          <w:sz w:val="32"/>
          <w:szCs w:val="32"/>
        </w:rPr>
        <w:t>后</w:t>
      </w:r>
      <w:r>
        <w:rPr>
          <w:rFonts w:ascii="仿宋_GB2312" w:eastAsia="仿宋_GB2312" w:cs="Times New Roman" w:hint="eastAsia"/>
          <w:color w:val="auto"/>
          <w:sz w:val="32"/>
          <w:szCs w:val="32"/>
        </w:rPr>
        <w:t>可申请学位论文预答辩。</w:t>
      </w:r>
    </w:p>
    <w:p w:rsidR="00A0560E" w:rsidRPr="007E5C1F" w:rsidRDefault="000335E4" w:rsidP="007E5C1F">
      <w:pPr>
        <w:pStyle w:val="a4"/>
        <w:numPr>
          <w:ilvl w:val="0"/>
          <w:numId w:val="2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 w:rsidRPr="00DC297E">
        <w:rPr>
          <w:rFonts w:ascii="仿宋_GB2312" w:eastAsia="仿宋_GB2312" w:hint="eastAsia"/>
          <w:color w:val="auto"/>
          <w:sz w:val="32"/>
          <w:szCs w:val="32"/>
        </w:rPr>
        <w:t>为保证</w:t>
      </w:r>
      <w:r w:rsidR="00DC297E">
        <w:rPr>
          <w:rFonts w:ascii="仿宋_GB2312" w:eastAsia="仿宋_GB2312" w:hint="eastAsia"/>
          <w:color w:val="auto"/>
          <w:sz w:val="32"/>
          <w:szCs w:val="32"/>
        </w:rPr>
        <w:t>博士、硕士</w:t>
      </w:r>
      <w:r w:rsidRPr="00DC297E">
        <w:rPr>
          <w:rFonts w:ascii="仿宋_GB2312" w:eastAsia="仿宋_GB2312" w:hint="eastAsia"/>
          <w:color w:val="auto"/>
          <w:sz w:val="32"/>
          <w:szCs w:val="32"/>
        </w:rPr>
        <w:t>学位申请人具有充分的修改完善学位论文时间，</w:t>
      </w:r>
      <w:r w:rsidR="00A0560E">
        <w:rPr>
          <w:rFonts w:ascii="仿宋_GB2312" w:eastAsia="仿宋_GB2312" w:hint="eastAsia"/>
          <w:color w:val="auto"/>
          <w:sz w:val="32"/>
          <w:szCs w:val="32"/>
        </w:rPr>
        <w:t>预答辩至少在</w:t>
      </w:r>
      <w:r w:rsidR="00DC297E">
        <w:rPr>
          <w:rFonts w:ascii="仿宋_GB2312" w:eastAsia="仿宋_GB2312" w:hint="eastAsia"/>
          <w:color w:val="auto"/>
          <w:sz w:val="32"/>
          <w:szCs w:val="32"/>
        </w:rPr>
        <w:t>博士、硕士学位论文评审前一至两个月</w:t>
      </w:r>
      <w:r w:rsidR="00A0560E">
        <w:rPr>
          <w:rFonts w:ascii="仿宋_GB2312" w:eastAsia="仿宋_GB2312" w:hint="eastAsia"/>
          <w:color w:val="auto"/>
          <w:sz w:val="32"/>
          <w:szCs w:val="32"/>
        </w:rPr>
        <w:t>进行，具体时间由各学院、学科统一安排</w:t>
      </w:r>
      <w:r w:rsidRPr="00DC297E"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A0560E" w:rsidRPr="007E5C1F" w:rsidRDefault="007E5C1F" w:rsidP="00DC297E">
      <w:pPr>
        <w:pStyle w:val="a4"/>
        <w:numPr>
          <w:ilvl w:val="0"/>
          <w:numId w:val="2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 w:rsidRPr="007E5C1F">
        <w:rPr>
          <w:rFonts w:ascii="仿宋_GB2312" w:eastAsia="仿宋_GB2312" w:hint="eastAsia"/>
          <w:color w:val="auto"/>
          <w:sz w:val="32"/>
          <w:szCs w:val="32"/>
        </w:rPr>
        <w:t>预答辩工作</w:t>
      </w:r>
      <w:r w:rsidR="00683DA5">
        <w:rPr>
          <w:rFonts w:ascii="仿宋_GB2312" w:eastAsia="仿宋_GB2312" w:hint="eastAsia"/>
          <w:color w:val="auto"/>
          <w:sz w:val="32"/>
          <w:szCs w:val="32"/>
        </w:rPr>
        <w:t>组织</w:t>
      </w:r>
    </w:p>
    <w:p w:rsidR="007E5C1F" w:rsidRPr="00C91328" w:rsidRDefault="00C91328" w:rsidP="0020738F">
      <w:pPr>
        <w:pStyle w:val="a4"/>
        <w:numPr>
          <w:ilvl w:val="0"/>
          <w:numId w:val="3"/>
        </w:numPr>
        <w:spacing w:before="0" w:beforeAutospacing="0" w:after="0" w:afterAutospacing="0" w:line="600" w:lineRule="exact"/>
        <w:rPr>
          <w:rFonts w:ascii="仿宋_GB2312" w:eastAsia="仿宋_GB2312"/>
          <w:color w:val="auto"/>
          <w:sz w:val="32"/>
          <w:szCs w:val="32"/>
        </w:rPr>
      </w:pPr>
      <w:r w:rsidRPr="00C91328">
        <w:rPr>
          <w:rFonts w:ascii="仿宋_GB2312" w:eastAsia="仿宋_GB2312" w:hint="eastAsia"/>
          <w:color w:val="auto"/>
          <w:sz w:val="32"/>
          <w:szCs w:val="32"/>
        </w:rPr>
        <w:lastRenderedPageBreak/>
        <w:t>经</w:t>
      </w:r>
      <w:r w:rsidR="005D0A6E">
        <w:rPr>
          <w:rFonts w:ascii="仿宋_GB2312" w:eastAsia="仿宋_GB2312" w:hint="eastAsia"/>
          <w:color w:val="auto"/>
          <w:sz w:val="32"/>
          <w:szCs w:val="32"/>
        </w:rPr>
        <w:t>导师</w:t>
      </w:r>
      <w:r w:rsidRPr="00C91328">
        <w:rPr>
          <w:rFonts w:ascii="仿宋_GB2312" w:eastAsia="仿宋_GB2312" w:hint="eastAsia"/>
          <w:color w:val="auto"/>
          <w:sz w:val="32"/>
          <w:szCs w:val="32"/>
        </w:rPr>
        <w:t>同意后，研究生登录研究</w:t>
      </w:r>
      <w:r w:rsidR="008A29FA">
        <w:rPr>
          <w:rFonts w:ascii="仿宋_GB2312" w:eastAsia="仿宋_GB2312" w:hint="eastAsia"/>
          <w:color w:val="auto"/>
          <w:sz w:val="32"/>
          <w:szCs w:val="32"/>
        </w:rPr>
        <w:t>生</w:t>
      </w:r>
      <w:r w:rsidRPr="00C91328">
        <w:rPr>
          <w:rFonts w:ascii="仿宋_GB2312" w:eastAsia="仿宋_GB2312" w:hint="eastAsia"/>
          <w:color w:val="auto"/>
          <w:sz w:val="32"/>
          <w:szCs w:val="32"/>
        </w:rPr>
        <w:t>信息管理系统，</w:t>
      </w:r>
      <w:r w:rsidR="00981330">
        <w:rPr>
          <w:rFonts w:ascii="仿宋_GB2312" w:eastAsia="仿宋_GB2312" w:hint="eastAsia"/>
          <w:color w:val="auto"/>
          <w:sz w:val="32"/>
          <w:szCs w:val="32"/>
        </w:rPr>
        <w:t>申请毕业报名</w:t>
      </w:r>
      <w:r w:rsidRPr="00C91328"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683DA5" w:rsidRPr="0020738F" w:rsidRDefault="007E5C1F" w:rsidP="0020738F">
      <w:pPr>
        <w:pStyle w:val="a4"/>
        <w:numPr>
          <w:ilvl w:val="0"/>
          <w:numId w:val="3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 w:rsidRPr="00C91328">
        <w:rPr>
          <w:rFonts w:ascii="仿宋_GB2312" w:eastAsia="仿宋_GB2312" w:hint="eastAsia"/>
          <w:color w:val="auto"/>
          <w:sz w:val="32"/>
          <w:szCs w:val="32"/>
        </w:rPr>
        <w:t>学院、学科</w:t>
      </w:r>
      <w:r w:rsidR="00886B83">
        <w:rPr>
          <w:rFonts w:ascii="仿宋_GB2312" w:eastAsia="仿宋_GB2312" w:hint="eastAsia"/>
          <w:color w:val="auto"/>
          <w:sz w:val="32"/>
          <w:szCs w:val="32"/>
        </w:rPr>
        <w:t>根据毕业报名</w:t>
      </w:r>
      <w:r w:rsidR="00C91328">
        <w:rPr>
          <w:rFonts w:ascii="仿宋_GB2312" w:eastAsia="仿宋_GB2312" w:hint="eastAsia"/>
          <w:color w:val="auto"/>
          <w:sz w:val="32"/>
          <w:szCs w:val="32"/>
        </w:rPr>
        <w:t>及</w:t>
      </w:r>
      <w:r w:rsidRPr="00C91328">
        <w:rPr>
          <w:rFonts w:ascii="仿宋_GB2312" w:eastAsia="仿宋_GB2312" w:hint="eastAsia"/>
          <w:color w:val="auto"/>
          <w:sz w:val="32"/>
          <w:szCs w:val="32"/>
        </w:rPr>
        <w:t>学院、学科实际情况决定预答辩分组</w:t>
      </w:r>
      <w:r w:rsidR="0066583C" w:rsidRPr="00C91328">
        <w:rPr>
          <w:rFonts w:ascii="仿宋_GB2312" w:eastAsia="仿宋_GB2312" w:hint="eastAsia"/>
          <w:color w:val="auto"/>
          <w:sz w:val="32"/>
          <w:szCs w:val="32"/>
        </w:rPr>
        <w:t>。</w:t>
      </w:r>
      <w:r w:rsidRPr="00C91328">
        <w:rPr>
          <w:rFonts w:ascii="仿宋_GB2312" w:eastAsia="仿宋_GB2312" w:hint="eastAsia"/>
          <w:color w:val="auto"/>
          <w:sz w:val="32"/>
          <w:szCs w:val="32"/>
        </w:rPr>
        <w:t>博士论文预答辩委员会</w:t>
      </w:r>
      <w:r w:rsidR="00886B83">
        <w:rPr>
          <w:rFonts w:ascii="仿宋_GB2312" w:eastAsia="仿宋_GB2312" w:hint="eastAsia"/>
          <w:color w:val="auto"/>
          <w:sz w:val="32"/>
          <w:szCs w:val="32"/>
        </w:rPr>
        <w:t>组成</w:t>
      </w:r>
      <w:r w:rsidRPr="00C91328">
        <w:rPr>
          <w:rFonts w:ascii="仿宋_GB2312" w:eastAsia="仿宋_GB2312" w:hint="eastAsia"/>
          <w:color w:val="auto"/>
          <w:sz w:val="32"/>
          <w:szCs w:val="32"/>
        </w:rPr>
        <w:t>不少于三名博士生导师，硕士论文预答辩委员会</w:t>
      </w:r>
      <w:r w:rsidR="00886B83">
        <w:rPr>
          <w:rFonts w:ascii="仿宋_GB2312" w:eastAsia="仿宋_GB2312" w:hint="eastAsia"/>
          <w:color w:val="auto"/>
          <w:sz w:val="32"/>
          <w:szCs w:val="32"/>
        </w:rPr>
        <w:t>组成</w:t>
      </w:r>
      <w:r w:rsidRPr="00C91328">
        <w:rPr>
          <w:rFonts w:ascii="仿宋_GB2312" w:eastAsia="仿宋_GB2312" w:hint="eastAsia"/>
          <w:color w:val="auto"/>
          <w:sz w:val="32"/>
          <w:szCs w:val="32"/>
        </w:rPr>
        <w:t>不少于三名硕士生导师</w:t>
      </w:r>
      <w:r w:rsidRPr="00C91328">
        <w:rPr>
          <w:rFonts w:ascii="仿宋_GB2312" w:eastAsia="仿宋_GB2312" w:cs="Times New Roman" w:hint="eastAsia"/>
          <w:color w:val="auto"/>
          <w:sz w:val="32"/>
          <w:szCs w:val="32"/>
        </w:rPr>
        <w:t>。</w:t>
      </w:r>
    </w:p>
    <w:p w:rsidR="007E5C1F" w:rsidRDefault="00C326F8" w:rsidP="00DC297E">
      <w:pPr>
        <w:pStyle w:val="a4"/>
        <w:numPr>
          <w:ilvl w:val="0"/>
          <w:numId w:val="2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_GB2312" w:eastAsia="仿宋_GB2312" w:cs="Times New Roman" w:hint="eastAsia"/>
          <w:color w:val="auto"/>
          <w:sz w:val="32"/>
          <w:szCs w:val="32"/>
        </w:rPr>
        <w:t>博士</w:t>
      </w:r>
      <w:r w:rsidR="004D1552">
        <w:rPr>
          <w:rFonts w:ascii="仿宋_GB2312" w:eastAsia="仿宋_GB2312" w:cs="Times New Roman" w:hint="eastAsia"/>
          <w:color w:val="auto"/>
          <w:sz w:val="32"/>
          <w:szCs w:val="32"/>
        </w:rPr>
        <w:t>预答辩程序</w:t>
      </w:r>
    </w:p>
    <w:p w:rsidR="00FA510A" w:rsidRDefault="00683DA5" w:rsidP="00FA510A">
      <w:pPr>
        <w:pStyle w:val="a4"/>
        <w:numPr>
          <w:ilvl w:val="0"/>
          <w:numId w:val="4"/>
        </w:numPr>
        <w:spacing w:before="0" w:beforeAutospacing="0" w:after="0" w:afterAutospacing="0" w:line="600" w:lineRule="exact"/>
        <w:rPr>
          <w:rFonts w:ascii="仿宋_GB2312" w:eastAsia="仿宋_GB2312"/>
          <w:color w:val="auto"/>
          <w:sz w:val="32"/>
          <w:szCs w:val="32"/>
        </w:rPr>
      </w:pPr>
      <w:r w:rsidRPr="00683DA5">
        <w:rPr>
          <w:rFonts w:ascii="仿宋_GB2312" w:eastAsia="仿宋_GB2312" w:hint="eastAsia"/>
          <w:color w:val="auto"/>
          <w:sz w:val="32"/>
          <w:szCs w:val="32"/>
        </w:rPr>
        <w:t>答辩人报告学位论文的主要内容</w:t>
      </w:r>
      <w:r w:rsidR="00176023">
        <w:rPr>
          <w:rFonts w:ascii="仿宋_GB2312" w:eastAsia="仿宋_GB2312" w:hint="eastAsia"/>
          <w:color w:val="auto"/>
          <w:sz w:val="32"/>
          <w:szCs w:val="32"/>
        </w:rPr>
        <w:t>，包括选题的目的、意义，论文工作量、实验、主要数据和结论，新见解和创造性成果等，</w:t>
      </w:r>
      <w:r w:rsidR="00846C10">
        <w:rPr>
          <w:rFonts w:ascii="仿宋_GB2312" w:eastAsia="仿宋_GB2312" w:hint="eastAsia"/>
          <w:color w:val="auto"/>
          <w:sz w:val="32"/>
          <w:szCs w:val="32"/>
        </w:rPr>
        <w:t>以</w:t>
      </w:r>
      <w:r w:rsidR="0020738F" w:rsidRPr="00C326F8">
        <w:rPr>
          <w:rFonts w:ascii="仿宋_GB2312" w:eastAsia="仿宋_GB2312" w:hint="eastAsia"/>
          <w:color w:val="auto"/>
          <w:sz w:val="32"/>
          <w:szCs w:val="32"/>
        </w:rPr>
        <w:t>PPT</w:t>
      </w:r>
      <w:r w:rsidR="00C75FA2" w:rsidRPr="00C326F8">
        <w:rPr>
          <w:rFonts w:ascii="仿宋_GB2312" w:eastAsia="仿宋_GB2312" w:hint="eastAsia"/>
          <w:color w:val="auto"/>
          <w:sz w:val="32"/>
          <w:szCs w:val="32"/>
        </w:rPr>
        <w:t>形式展示，</w:t>
      </w:r>
      <w:r w:rsidR="0020738F" w:rsidRPr="00C326F8">
        <w:rPr>
          <w:rFonts w:ascii="仿宋_GB2312" w:eastAsia="仿宋_GB2312" w:hint="eastAsia"/>
          <w:color w:val="auto"/>
          <w:sz w:val="32"/>
          <w:szCs w:val="32"/>
        </w:rPr>
        <w:t>报告时间不少于</w:t>
      </w:r>
      <w:r w:rsidR="008F2BA4">
        <w:rPr>
          <w:rFonts w:ascii="仿宋_GB2312" w:eastAsia="仿宋_GB2312" w:hint="eastAsia"/>
          <w:color w:val="auto"/>
          <w:sz w:val="32"/>
          <w:szCs w:val="32"/>
        </w:rPr>
        <w:t>二十</w:t>
      </w:r>
      <w:r w:rsidR="0020738F" w:rsidRPr="00C326F8">
        <w:rPr>
          <w:rFonts w:ascii="仿宋_GB2312" w:eastAsia="仿宋_GB2312" w:hint="eastAsia"/>
          <w:color w:val="auto"/>
          <w:sz w:val="32"/>
          <w:szCs w:val="32"/>
        </w:rPr>
        <w:t>分钟</w:t>
      </w:r>
      <w:r w:rsidR="00C75FA2" w:rsidRPr="00C326F8"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20738F" w:rsidRPr="00FA510A" w:rsidRDefault="0020738F" w:rsidP="00FA510A">
      <w:pPr>
        <w:pStyle w:val="a4"/>
        <w:numPr>
          <w:ilvl w:val="0"/>
          <w:numId w:val="4"/>
        </w:numPr>
        <w:spacing w:before="0" w:beforeAutospacing="0" w:after="0" w:afterAutospacing="0" w:line="600" w:lineRule="exact"/>
        <w:rPr>
          <w:rFonts w:ascii="仿宋_GB2312" w:eastAsia="仿宋_GB2312"/>
          <w:color w:val="auto"/>
          <w:sz w:val="32"/>
          <w:szCs w:val="32"/>
        </w:rPr>
      </w:pPr>
      <w:r w:rsidRPr="00FA510A">
        <w:rPr>
          <w:rFonts w:ascii="仿宋_GB2312" w:eastAsia="仿宋_GB2312" w:hint="eastAsia"/>
          <w:color w:val="auto"/>
          <w:sz w:val="32"/>
          <w:szCs w:val="32"/>
        </w:rPr>
        <w:t>预答辩专家组成员提问或指正，答辩人答辩。</w:t>
      </w:r>
    </w:p>
    <w:p w:rsidR="00FA510A" w:rsidRDefault="0020738F" w:rsidP="00FA510A">
      <w:pPr>
        <w:pStyle w:val="a4"/>
        <w:numPr>
          <w:ilvl w:val="0"/>
          <w:numId w:val="4"/>
        </w:numPr>
        <w:spacing w:before="0" w:beforeAutospacing="0" w:after="0" w:afterAutospacing="0"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预答辩</w:t>
      </w:r>
      <w:r w:rsidR="00F02F46">
        <w:rPr>
          <w:rFonts w:ascii="仿宋_GB2312" w:eastAsia="仿宋_GB2312" w:hint="eastAsia"/>
          <w:color w:val="auto"/>
          <w:sz w:val="32"/>
          <w:szCs w:val="32"/>
        </w:rPr>
        <w:t>专家组</w:t>
      </w:r>
      <w:r>
        <w:rPr>
          <w:rFonts w:ascii="仿宋_GB2312" w:eastAsia="仿宋_GB2312" w:hint="eastAsia"/>
          <w:color w:val="auto"/>
          <w:sz w:val="32"/>
          <w:szCs w:val="32"/>
        </w:rPr>
        <w:t>应对</w:t>
      </w:r>
      <w:r w:rsidR="00FA510A">
        <w:rPr>
          <w:rFonts w:ascii="仿宋_GB2312" w:eastAsia="仿宋_GB2312" w:hint="eastAsia"/>
          <w:color w:val="auto"/>
          <w:sz w:val="32"/>
          <w:szCs w:val="32"/>
        </w:rPr>
        <w:t>博士学位</w:t>
      </w:r>
      <w:r>
        <w:rPr>
          <w:rFonts w:ascii="仿宋_GB2312" w:eastAsia="仿宋_GB2312" w:hint="eastAsia"/>
          <w:color w:val="auto"/>
          <w:sz w:val="32"/>
          <w:szCs w:val="32"/>
        </w:rPr>
        <w:t>论文进行严格审查，重点审查学位论文</w:t>
      </w:r>
      <w:r w:rsidR="00FA510A">
        <w:rPr>
          <w:rFonts w:ascii="仿宋_GB2312" w:eastAsia="仿宋_GB2312" w:hint="eastAsia"/>
          <w:color w:val="auto"/>
          <w:sz w:val="32"/>
          <w:szCs w:val="32"/>
        </w:rPr>
        <w:t>的创新性、</w:t>
      </w:r>
      <w:r w:rsidR="00FD76F3">
        <w:rPr>
          <w:rFonts w:ascii="仿宋_GB2312" w:eastAsia="仿宋_GB2312" w:hint="eastAsia"/>
          <w:color w:val="auto"/>
          <w:sz w:val="32"/>
          <w:szCs w:val="32"/>
        </w:rPr>
        <w:t>学术水平、工作量、研究成果及撰写</w:t>
      </w:r>
      <w:r w:rsidR="00917D08">
        <w:rPr>
          <w:rFonts w:ascii="仿宋_GB2312" w:eastAsia="仿宋_GB2312" w:hint="eastAsia"/>
          <w:color w:val="auto"/>
          <w:sz w:val="32"/>
          <w:szCs w:val="32"/>
        </w:rPr>
        <w:t>规范性等方面</w:t>
      </w:r>
      <w:r w:rsidR="00240561">
        <w:rPr>
          <w:rFonts w:ascii="仿宋_GB2312" w:eastAsia="仿宋_GB2312" w:hint="eastAsia"/>
          <w:color w:val="auto"/>
          <w:sz w:val="32"/>
          <w:szCs w:val="32"/>
        </w:rPr>
        <w:t>，</w:t>
      </w:r>
      <w:r w:rsidR="00917D08">
        <w:rPr>
          <w:rFonts w:ascii="仿宋_GB2312" w:eastAsia="仿宋_GB2312" w:hint="eastAsia"/>
          <w:color w:val="auto"/>
          <w:sz w:val="32"/>
          <w:szCs w:val="32"/>
        </w:rPr>
        <w:t>详细</w:t>
      </w:r>
      <w:r w:rsidR="00FD76F3">
        <w:rPr>
          <w:rFonts w:ascii="仿宋_GB2312" w:eastAsia="仿宋_GB2312" w:hint="eastAsia"/>
          <w:color w:val="auto"/>
          <w:sz w:val="32"/>
          <w:szCs w:val="32"/>
        </w:rPr>
        <w:t>指出论文存在的不足之处，提出修改意见</w:t>
      </w:r>
      <w:r w:rsidR="00FA510A"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FA510A" w:rsidRPr="00FA510A" w:rsidRDefault="00FD76F3" w:rsidP="00FA510A">
      <w:pPr>
        <w:pStyle w:val="a4"/>
        <w:numPr>
          <w:ilvl w:val="0"/>
          <w:numId w:val="4"/>
        </w:numPr>
        <w:spacing w:before="0" w:beforeAutospacing="0" w:after="0" w:afterAutospacing="0" w:line="600" w:lineRule="exact"/>
        <w:rPr>
          <w:rFonts w:ascii="仿宋_GB2312" w:eastAsia="仿宋_GB2312"/>
          <w:color w:val="auto"/>
          <w:sz w:val="32"/>
          <w:szCs w:val="32"/>
        </w:rPr>
      </w:pPr>
      <w:r w:rsidRPr="00FA510A">
        <w:rPr>
          <w:rFonts w:ascii="仿宋_GB2312" w:eastAsia="仿宋_GB2312" w:hint="eastAsia"/>
          <w:color w:val="auto"/>
          <w:sz w:val="32"/>
          <w:szCs w:val="32"/>
        </w:rPr>
        <w:t>预答辩专家组</w:t>
      </w:r>
      <w:r w:rsidR="00FA510A" w:rsidRPr="00FA510A">
        <w:rPr>
          <w:rFonts w:ascii="仿宋_GB2312" w:eastAsia="仿宋_GB2312" w:hint="eastAsia"/>
          <w:color w:val="auto"/>
          <w:sz w:val="32"/>
          <w:szCs w:val="32"/>
        </w:rPr>
        <w:t>做出是否通过预答辩的意见</w:t>
      </w:r>
      <w:r w:rsidR="00387AEE">
        <w:rPr>
          <w:rFonts w:ascii="仿宋_GB2312" w:eastAsia="仿宋_GB2312" w:hint="eastAsia"/>
          <w:color w:val="auto"/>
          <w:sz w:val="32"/>
          <w:szCs w:val="32"/>
        </w:rPr>
        <w:t>。</w:t>
      </w:r>
    </w:p>
    <w:p w:rsidR="00F670DD" w:rsidRDefault="006C7A4B" w:rsidP="00FB25E2">
      <w:pPr>
        <w:pStyle w:val="a4"/>
        <w:numPr>
          <w:ilvl w:val="0"/>
          <w:numId w:val="2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_GB2312" w:eastAsia="仿宋_GB2312" w:cs="Times New Roman" w:hint="eastAsia"/>
          <w:color w:val="auto"/>
          <w:sz w:val="32"/>
          <w:szCs w:val="32"/>
        </w:rPr>
        <w:t>硕士预答辩程序</w:t>
      </w:r>
    </w:p>
    <w:p w:rsidR="00C326F8" w:rsidRPr="00FB25E2" w:rsidRDefault="00FA510A" w:rsidP="00F670DD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Times New Roman"/>
          <w:color w:val="auto"/>
          <w:sz w:val="32"/>
          <w:szCs w:val="32"/>
        </w:rPr>
      </w:pPr>
      <w:r w:rsidRPr="00FA510A">
        <w:rPr>
          <w:rFonts w:ascii="仿宋_GB2312" w:eastAsia="仿宋_GB2312" w:hint="eastAsia"/>
          <w:color w:val="auto"/>
          <w:sz w:val="32"/>
          <w:szCs w:val="32"/>
        </w:rPr>
        <w:t>硕士预答辩的</w:t>
      </w:r>
      <w:r w:rsidR="00F670DD">
        <w:rPr>
          <w:rFonts w:ascii="仿宋_GB2312" w:eastAsia="仿宋_GB2312" w:hint="eastAsia"/>
          <w:color w:val="auto"/>
          <w:sz w:val="32"/>
          <w:szCs w:val="32"/>
        </w:rPr>
        <w:t>程序，包括预答辩</w:t>
      </w:r>
      <w:r w:rsidRPr="00FA510A">
        <w:rPr>
          <w:rFonts w:ascii="仿宋_GB2312" w:eastAsia="仿宋_GB2312" w:hint="eastAsia"/>
          <w:color w:val="auto"/>
          <w:sz w:val="32"/>
          <w:szCs w:val="32"/>
        </w:rPr>
        <w:t>形式</w:t>
      </w:r>
      <w:r w:rsidR="00F670DD">
        <w:rPr>
          <w:rFonts w:ascii="仿宋_GB2312" w:eastAsia="仿宋_GB2312" w:hint="eastAsia"/>
          <w:color w:val="auto"/>
          <w:sz w:val="32"/>
          <w:szCs w:val="32"/>
        </w:rPr>
        <w:t>、</w:t>
      </w:r>
      <w:r w:rsidRPr="00FA510A">
        <w:rPr>
          <w:rFonts w:ascii="仿宋_GB2312" w:eastAsia="仿宋_GB2312" w:hint="eastAsia"/>
          <w:color w:val="auto"/>
          <w:sz w:val="32"/>
          <w:szCs w:val="32"/>
        </w:rPr>
        <w:t>报告方式等均由学院决定，学院在本办法的基础上，根据学院、学科的实际情况制定实施细则，报研究生院备案。</w:t>
      </w:r>
    </w:p>
    <w:p w:rsidR="007E5C1F" w:rsidRDefault="006C6DA3" w:rsidP="00DC297E">
      <w:pPr>
        <w:pStyle w:val="a4"/>
        <w:numPr>
          <w:ilvl w:val="0"/>
          <w:numId w:val="2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_GB2312" w:eastAsia="仿宋_GB2312" w:cs="Times New Roman" w:hint="eastAsia"/>
          <w:color w:val="auto"/>
          <w:sz w:val="32"/>
          <w:szCs w:val="32"/>
        </w:rPr>
        <w:t>预答辩结果处理</w:t>
      </w:r>
    </w:p>
    <w:p w:rsidR="0078740C" w:rsidRDefault="006C6DA3" w:rsidP="0078740C">
      <w:pPr>
        <w:pStyle w:val="a4"/>
        <w:numPr>
          <w:ilvl w:val="0"/>
          <w:numId w:val="5"/>
        </w:numPr>
        <w:spacing w:before="0" w:beforeAutospacing="0" w:after="0" w:afterAutospacing="0"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预答辩通过者，根据预答辩专家组意见修改完善论文，经导师</w:t>
      </w:r>
      <w:r w:rsidR="007A7029">
        <w:rPr>
          <w:rFonts w:ascii="仿宋_GB2312" w:eastAsia="仿宋_GB2312" w:hint="eastAsia"/>
          <w:color w:val="auto"/>
          <w:sz w:val="32"/>
          <w:szCs w:val="32"/>
        </w:rPr>
        <w:t>审阅</w:t>
      </w:r>
      <w:r>
        <w:rPr>
          <w:rFonts w:ascii="仿宋_GB2312" w:eastAsia="仿宋_GB2312" w:hint="eastAsia"/>
          <w:color w:val="auto"/>
          <w:sz w:val="32"/>
          <w:szCs w:val="32"/>
        </w:rPr>
        <w:t>同意后可进行学位申请。</w:t>
      </w:r>
    </w:p>
    <w:p w:rsidR="005C446E" w:rsidRPr="0078740C" w:rsidRDefault="006C6DA3" w:rsidP="0078740C">
      <w:pPr>
        <w:pStyle w:val="a4"/>
        <w:numPr>
          <w:ilvl w:val="0"/>
          <w:numId w:val="5"/>
        </w:numPr>
        <w:spacing w:before="0" w:beforeAutospacing="0" w:after="0" w:afterAutospacing="0" w:line="600" w:lineRule="exact"/>
        <w:rPr>
          <w:rFonts w:ascii="仿宋_GB2312" w:eastAsia="仿宋_GB2312"/>
          <w:color w:val="auto"/>
          <w:sz w:val="32"/>
          <w:szCs w:val="32"/>
        </w:rPr>
      </w:pPr>
      <w:r w:rsidRPr="0078740C">
        <w:rPr>
          <w:rFonts w:ascii="仿宋_GB2312" w:eastAsia="仿宋_GB2312" w:hint="eastAsia"/>
          <w:color w:val="auto"/>
          <w:sz w:val="32"/>
          <w:szCs w:val="32"/>
        </w:rPr>
        <w:lastRenderedPageBreak/>
        <w:t>预答辩未通过者，</w:t>
      </w:r>
      <w:r w:rsidR="001B7D74" w:rsidRPr="0078740C">
        <w:rPr>
          <w:rFonts w:ascii="仿宋_GB2312" w:eastAsia="仿宋_GB2312" w:hint="eastAsia"/>
          <w:color w:val="auto"/>
          <w:sz w:val="32"/>
          <w:szCs w:val="32"/>
        </w:rPr>
        <w:t>办理延期</w:t>
      </w:r>
      <w:r w:rsidR="00E049AF">
        <w:rPr>
          <w:rFonts w:ascii="仿宋_GB2312" w:eastAsia="仿宋_GB2312" w:hint="eastAsia"/>
          <w:color w:val="auto"/>
          <w:sz w:val="32"/>
          <w:szCs w:val="32"/>
        </w:rPr>
        <w:t>。</w:t>
      </w:r>
      <w:r w:rsidRPr="0078740C">
        <w:rPr>
          <w:rFonts w:ascii="仿宋_GB2312" w:eastAsia="仿宋_GB2312" w:hint="eastAsia"/>
          <w:color w:val="auto"/>
          <w:sz w:val="32"/>
          <w:szCs w:val="32"/>
        </w:rPr>
        <w:t>根据预答辩专家组意见，</w:t>
      </w:r>
      <w:r w:rsidR="00305BEF">
        <w:rPr>
          <w:rFonts w:ascii="仿宋_GB2312" w:eastAsia="仿宋_GB2312" w:hint="eastAsia"/>
          <w:color w:val="auto"/>
          <w:sz w:val="32"/>
          <w:szCs w:val="32"/>
        </w:rPr>
        <w:t>对学位论文进行为期三个月以上的修改完善</w:t>
      </w:r>
      <w:r w:rsidRPr="0078740C">
        <w:rPr>
          <w:rFonts w:ascii="仿宋_GB2312" w:eastAsia="仿宋_GB2312" w:hint="eastAsia"/>
          <w:color w:val="auto"/>
          <w:sz w:val="32"/>
          <w:szCs w:val="32"/>
        </w:rPr>
        <w:t>，经导师</w:t>
      </w:r>
      <w:r w:rsidR="007A7029" w:rsidRPr="0078740C">
        <w:rPr>
          <w:rFonts w:ascii="仿宋_GB2312" w:eastAsia="仿宋_GB2312" w:hint="eastAsia"/>
          <w:color w:val="auto"/>
          <w:sz w:val="32"/>
          <w:szCs w:val="32"/>
        </w:rPr>
        <w:t>审阅</w:t>
      </w:r>
      <w:r w:rsidRPr="0078740C">
        <w:rPr>
          <w:rFonts w:ascii="仿宋_GB2312" w:eastAsia="仿宋_GB2312" w:hint="eastAsia"/>
          <w:color w:val="auto"/>
          <w:sz w:val="32"/>
          <w:szCs w:val="32"/>
        </w:rPr>
        <w:t>同</w:t>
      </w:r>
      <w:r w:rsidRPr="0078740C">
        <w:rPr>
          <w:rFonts w:ascii="仿宋_GB2312" w:eastAsia="仿宋_GB2312" w:cs="Times New Roman" w:hint="eastAsia"/>
          <w:color w:val="auto"/>
          <w:sz w:val="32"/>
          <w:szCs w:val="32"/>
        </w:rPr>
        <w:t>意后重新申请预答辩。</w:t>
      </w:r>
    </w:p>
    <w:p w:rsidR="00DA4556" w:rsidRPr="00DA4556" w:rsidRDefault="00DA4556" w:rsidP="00DA4556">
      <w:pPr>
        <w:pStyle w:val="a4"/>
        <w:numPr>
          <w:ilvl w:val="0"/>
          <w:numId w:val="2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_GB2312" w:eastAsia="仿宋_GB2312" w:cs="Times New Roman" w:hint="eastAsia"/>
          <w:color w:val="auto"/>
          <w:sz w:val="32"/>
          <w:szCs w:val="32"/>
        </w:rPr>
        <w:t>预答辩专家费可遵照《</w:t>
      </w:r>
      <w:r w:rsidRPr="00DA4556">
        <w:rPr>
          <w:rFonts w:ascii="仿宋_GB2312" w:eastAsia="仿宋_GB2312" w:cs="Times New Roman" w:hint="eastAsia"/>
          <w:color w:val="auto"/>
          <w:sz w:val="32"/>
          <w:szCs w:val="32"/>
        </w:rPr>
        <w:t>中国矿业大学（北京）</w:t>
      </w:r>
    </w:p>
    <w:p w:rsidR="005C446E" w:rsidRPr="00DA4556" w:rsidRDefault="00DA4556" w:rsidP="00DA4556">
      <w:pPr>
        <w:spacing w:line="500" w:lineRule="exact"/>
        <w:jc w:val="left"/>
        <w:rPr>
          <w:rFonts w:ascii="仿宋_GB2312" w:eastAsia="仿宋_GB2312" w:hAnsi="宋体"/>
          <w:snapToGrid w:val="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sz w:val="32"/>
          <w:szCs w:val="32"/>
        </w:rPr>
        <w:t>关于研究生开题报告会、预答辩、学位论文评审及答辩会费</w:t>
      </w:r>
      <w:r w:rsidRPr="00DA4556">
        <w:rPr>
          <w:rFonts w:ascii="仿宋_GB2312" w:eastAsia="仿宋_GB2312" w:hint="eastAsia"/>
          <w:sz w:val="32"/>
          <w:szCs w:val="32"/>
        </w:rPr>
        <w:t>用标准的通知</w:t>
      </w:r>
      <w:r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  <w:lang w:val="en-GB"/>
        </w:rPr>
        <w:t>中矿大京研字〔20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21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  <w:lang w:val="en-GB"/>
        </w:rPr>
        <w:t>〕</w:t>
      </w:r>
      <w:r>
        <w:rPr>
          <w:rFonts w:ascii="仿宋_GB2312" w:eastAsia="仿宋_GB2312" w:hAnsi="宋体"/>
          <w:snapToGrid w:val="0"/>
          <w:kern w:val="0"/>
          <w:sz w:val="32"/>
          <w:szCs w:val="32"/>
          <w:lang w:val="en-GB"/>
        </w:rPr>
        <w:t>8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  <w:lang w:val="en-GB"/>
        </w:rPr>
        <w:t>号</w:t>
      </w:r>
      <w:r>
        <w:rPr>
          <w:rFonts w:ascii="仿宋_GB2312" w:eastAsia="仿宋_GB2312" w:hint="eastAsia"/>
          <w:sz w:val="32"/>
          <w:szCs w:val="32"/>
        </w:rPr>
        <w:t>）执行。</w:t>
      </w:r>
    </w:p>
    <w:p w:rsidR="006C6DA3" w:rsidRPr="00DC297E" w:rsidRDefault="00F45D5C" w:rsidP="00DC297E">
      <w:pPr>
        <w:pStyle w:val="a4"/>
        <w:numPr>
          <w:ilvl w:val="0"/>
          <w:numId w:val="2"/>
        </w:numPr>
        <w:spacing w:before="0" w:beforeAutospacing="0" w:after="0" w:afterAutospacing="0" w:line="600" w:lineRule="exac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_GB2312" w:eastAsia="仿宋_GB2312" w:cs="Times New Roman" w:hint="eastAsia"/>
          <w:color w:val="auto"/>
          <w:sz w:val="32"/>
          <w:szCs w:val="32"/>
        </w:rPr>
        <w:t>本规定自公布之日起执行，由研究生院负责解释。</w:t>
      </w:r>
    </w:p>
    <w:sectPr w:rsidR="006C6DA3" w:rsidRPr="00DC297E" w:rsidSect="00724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94" w:rsidRDefault="00697E94" w:rsidP="00F02F46">
      <w:r>
        <w:separator/>
      </w:r>
    </w:p>
  </w:endnote>
  <w:endnote w:type="continuationSeparator" w:id="0">
    <w:p w:rsidR="00697E94" w:rsidRDefault="00697E94" w:rsidP="00F0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94" w:rsidRDefault="00697E94" w:rsidP="00F02F46">
      <w:r>
        <w:separator/>
      </w:r>
    </w:p>
  </w:footnote>
  <w:footnote w:type="continuationSeparator" w:id="0">
    <w:p w:rsidR="00697E94" w:rsidRDefault="00697E94" w:rsidP="00F0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C5"/>
    <w:multiLevelType w:val="hybridMultilevel"/>
    <w:tmpl w:val="A470DCCA"/>
    <w:lvl w:ilvl="0" w:tplc="E32CA15A">
      <w:start w:val="1"/>
      <w:numFmt w:val="japaneseCounting"/>
      <w:lvlText w:val="(%1）"/>
      <w:lvlJc w:val="left"/>
      <w:pPr>
        <w:ind w:left="0" w:firstLine="64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A362E58"/>
    <w:multiLevelType w:val="hybridMultilevel"/>
    <w:tmpl w:val="A470DCCA"/>
    <w:lvl w:ilvl="0" w:tplc="E32CA15A">
      <w:start w:val="1"/>
      <w:numFmt w:val="japaneseCounting"/>
      <w:lvlText w:val="(%1）"/>
      <w:lvlJc w:val="left"/>
      <w:pPr>
        <w:ind w:left="0" w:firstLine="64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E35681"/>
    <w:multiLevelType w:val="hybridMultilevel"/>
    <w:tmpl w:val="BFDCD16A"/>
    <w:lvl w:ilvl="0" w:tplc="5BC04C10">
      <w:start w:val="1"/>
      <w:numFmt w:val="japaneseCounting"/>
      <w:lvlText w:val="第%1条"/>
      <w:lvlJc w:val="left"/>
      <w:pPr>
        <w:ind w:left="1140" w:hanging="114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E27DD"/>
    <w:multiLevelType w:val="hybridMultilevel"/>
    <w:tmpl w:val="A470DCCA"/>
    <w:lvl w:ilvl="0" w:tplc="E32CA15A">
      <w:start w:val="1"/>
      <w:numFmt w:val="japaneseCounting"/>
      <w:lvlText w:val="(%1）"/>
      <w:lvlJc w:val="left"/>
      <w:pPr>
        <w:ind w:left="0" w:firstLine="64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4EA0026"/>
    <w:multiLevelType w:val="hybridMultilevel"/>
    <w:tmpl w:val="94E6D35C"/>
    <w:lvl w:ilvl="0" w:tplc="E894F514">
      <w:start w:val="1"/>
      <w:numFmt w:val="japaneseCounting"/>
      <w:lvlText w:val="第%1条"/>
      <w:lvlJc w:val="left"/>
      <w:pPr>
        <w:ind w:left="0" w:firstLine="640"/>
      </w:pPr>
      <w:rPr>
        <w:rFonts w:ascii="仿宋_GB2312" w:eastAsia="仿宋_GB2312" w:hAnsi="宋体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5E4"/>
    <w:rsid w:val="000141B2"/>
    <w:rsid w:val="000335E4"/>
    <w:rsid w:val="00056BF8"/>
    <w:rsid w:val="00057716"/>
    <w:rsid w:val="0006179C"/>
    <w:rsid w:val="000C4C08"/>
    <w:rsid w:val="00176023"/>
    <w:rsid w:val="001A2D43"/>
    <w:rsid w:val="001B7D74"/>
    <w:rsid w:val="0020738F"/>
    <w:rsid w:val="00240561"/>
    <w:rsid w:val="00280407"/>
    <w:rsid w:val="002A4826"/>
    <w:rsid w:val="002E0F31"/>
    <w:rsid w:val="00305BEF"/>
    <w:rsid w:val="00377978"/>
    <w:rsid w:val="00387AEE"/>
    <w:rsid w:val="00396FE1"/>
    <w:rsid w:val="003D6D6D"/>
    <w:rsid w:val="00440B21"/>
    <w:rsid w:val="00480364"/>
    <w:rsid w:val="004D1552"/>
    <w:rsid w:val="005C446E"/>
    <w:rsid w:val="005D0A6E"/>
    <w:rsid w:val="005E40C7"/>
    <w:rsid w:val="005F018E"/>
    <w:rsid w:val="006123C4"/>
    <w:rsid w:val="0066583C"/>
    <w:rsid w:val="00683DA5"/>
    <w:rsid w:val="00691630"/>
    <w:rsid w:val="00697E94"/>
    <w:rsid w:val="006C6DA3"/>
    <w:rsid w:val="006C7A4B"/>
    <w:rsid w:val="00724867"/>
    <w:rsid w:val="0078714B"/>
    <w:rsid w:val="0078740C"/>
    <w:rsid w:val="007A7029"/>
    <w:rsid w:val="007E5C1F"/>
    <w:rsid w:val="00846C10"/>
    <w:rsid w:val="00862878"/>
    <w:rsid w:val="00886B83"/>
    <w:rsid w:val="008A29FA"/>
    <w:rsid w:val="008C3065"/>
    <w:rsid w:val="008F2BA4"/>
    <w:rsid w:val="00917D08"/>
    <w:rsid w:val="009504D8"/>
    <w:rsid w:val="00981330"/>
    <w:rsid w:val="009B609C"/>
    <w:rsid w:val="00A0560E"/>
    <w:rsid w:val="00AC280F"/>
    <w:rsid w:val="00B92EAF"/>
    <w:rsid w:val="00BD4E9F"/>
    <w:rsid w:val="00C326F8"/>
    <w:rsid w:val="00C53A60"/>
    <w:rsid w:val="00C60774"/>
    <w:rsid w:val="00C75FA2"/>
    <w:rsid w:val="00C91328"/>
    <w:rsid w:val="00D136AC"/>
    <w:rsid w:val="00DA4556"/>
    <w:rsid w:val="00DC297E"/>
    <w:rsid w:val="00E049AF"/>
    <w:rsid w:val="00EB5647"/>
    <w:rsid w:val="00F02F46"/>
    <w:rsid w:val="00F45D5C"/>
    <w:rsid w:val="00F670DD"/>
    <w:rsid w:val="00FA510A"/>
    <w:rsid w:val="00FB25E2"/>
    <w:rsid w:val="00FD76F3"/>
    <w:rsid w:val="00FE4143"/>
    <w:rsid w:val="00FE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E4"/>
    <w:pPr>
      <w:ind w:firstLineChars="200" w:firstLine="420"/>
    </w:pPr>
  </w:style>
  <w:style w:type="paragraph" w:styleId="a4">
    <w:name w:val="Normal (Web)"/>
    <w:basedOn w:val="a"/>
    <w:rsid w:val="000335E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02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02F4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02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02F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</dc:creator>
  <cp:lastModifiedBy>李华</cp:lastModifiedBy>
  <cp:revision>58</cp:revision>
  <cp:lastPrinted>2021-05-12T00:57:00Z</cp:lastPrinted>
  <dcterms:created xsi:type="dcterms:W3CDTF">2021-05-11T01:37:00Z</dcterms:created>
  <dcterms:modified xsi:type="dcterms:W3CDTF">2022-03-10T01:04:00Z</dcterms:modified>
</cp:coreProperties>
</file>