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372" w:rsidRDefault="00B87C91" w:rsidP="008D1372">
      <w:pPr>
        <w:jc w:val="center"/>
        <w:rPr>
          <w:rFonts w:ascii="宋体" w:hAnsi="宋体" w:cs="宋体"/>
        </w:rPr>
      </w:pPr>
      <w:r>
        <w:rPr>
          <w:rFonts w:ascii="宋体" w:hAnsi="宋体" w:cs="宋体"/>
        </w:rPr>
        <w:t>727</w:t>
      </w:r>
      <w:r>
        <w:rPr>
          <w:rFonts w:ascii="宋体" w:hAnsi="宋体" w:cs="宋体" w:hint="eastAsia"/>
        </w:rPr>
        <w:t xml:space="preserve"> </w:t>
      </w:r>
      <w:r>
        <w:rPr>
          <w:rFonts w:ascii="宋体" w:hAnsi="宋体" w:cs="宋体"/>
        </w:rPr>
        <w:t>管理学综合(含公共管理学、管理学原理)</w:t>
      </w:r>
    </w:p>
    <w:p w:rsidR="00B87C91" w:rsidRDefault="00B87C91" w:rsidP="008D1372">
      <w:pPr>
        <w:jc w:val="center"/>
        <w:rPr>
          <w:rFonts w:ascii="宋体" w:hAnsi="宋体" w:cs="宋体"/>
        </w:rPr>
      </w:pPr>
      <w:r>
        <w:rPr>
          <w:rFonts w:ascii="宋体" w:hAnsi="宋体" w:cs="宋体" w:hint="eastAsia"/>
        </w:rPr>
        <w:t>考试大纲</w:t>
      </w:r>
    </w:p>
    <w:p w:rsidR="00B87C91" w:rsidRDefault="00B87C91">
      <w:pPr>
        <w:rPr>
          <w:rFonts w:ascii="宋体" w:hAnsi="宋体" w:cs="宋体"/>
        </w:rPr>
      </w:pPr>
    </w:p>
    <w:p w:rsidR="00B87C91" w:rsidRPr="00640230" w:rsidRDefault="00B87C91" w:rsidP="00640230">
      <w:pPr>
        <w:widowControl/>
        <w:wordWrap w:val="0"/>
        <w:spacing w:beforeLines="150" w:before="468" w:line="360" w:lineRule="auto"/>
        <w:jc w:val="left"/>
        <w:rPr>
          <w:rFonts w:ascii="Times New Roman" w:hAnsi="Times New Roman" w:cs="Times New Roman"/>
          <w:b/>
          <w:color w:val="000000"/>
          <w:spacing w:val="8"/>
          <w:kern w:val="0"/>
          <w:sz w:val="21"/>
          <w:szCs w:val="21"/>
        </w:rPr>
      </w:pPr>
      <w:r w:rsidRPr="00640230">
        <w:rPr>
          <w:rFonts w:ascii="Times New Roman" w:hAnsi="Times New Roman" w:cs="Times New Roman"/>
          <w:b/>
          <w:color w:val="000000"/>
          <w:spacing w:val="8"/>
          <w:kern w:val="0"/>
          <w:sz w:val="21"/>
          <w:szCs w:val="21"/>
        </w:rPr>
        <w:t>第一部分　考试说明</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1</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本大纲各章所提到的内容和考核目标都是考试内容。试题覆盖到章，适当突出重点。</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2</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本大纲在考核目标中，按照</w:t>
      </w:r>
      <w:r w:rsidR="00640230">
        <w:rPr>
          <w:rFonts w:cs="Times New Roman" w:hint="eastAsia"/>
          <w:sz w:val="21"/>
          <w:szCs w:val="21"/>
        </w:rPr>
        <w:t>“</w:t>
      </w:r>
      <w:r w:rsidRPr="00640230">
        <w:rPr>
          <w:rFonts w:cs="Times New Roman"/>
          <w:sz w:val="21"/>
          <w:szCs w:val="21"/>
        </w:rPr>
        <w:t>识记</w:t>
      </w:r>
      <w:r w:rsidR="00640230">
        <w:rPr>
          <w:rFonts w:cs="Times New Roman" w:hint="eastAsia"/>
          <w:sz w:val="21"/>
          <w:szCs w:val="21"/>
        </w:rPr>
        <w:t>”</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理解</w:t>
      </w:r>
      <w:r w:rsidR="00640230">
        <w:rPr>
          <w:rFonts w:cs="Times New Roman" w:hint="eastAsia"/>
          <w:sz w:val="21"/>
          <w:szCs w:val="21"/>
        </w:rPr>
        <w:t>”</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应用</w:t>
      </w:r>
      <w:r w:rsidR="00640230">
        <w:rPr>
          <w:rFonts w:cs="Times New Roman" w:hint="eastAsia"/>
          <w:sz w:val="21"/>
          <w:szCs w:val="21"/>
        </w:rPr>
        <w:t>”</w:t>
      </w:r>
      <w:r w:rsidRPr="00640230">
        <w:rPr>
          <w:rFonts w:ascii="Times New Roman" w:eastAsiaTheme="minorEastAsia" w:hAnsi="Times New Roman" w:cs="Times New Roman"/>
          <w:sz w:val="21"/>
          <w:szCs w:val="21"/>
        </w:rPr>
        <w:t>三个</w:t>
      </w:r>
      <w:r w:rsidR="00640230">
        <w:rPr>
          <w:rFonts w:ascii="Times New Roman" w:eastAsiaTheme="minorEastAsia" w:hAnsi="Times New Roman" w:cs="Times New Roman" w:hint="eastAsia"/>
          <w:sz w:val="21"/>
          <w:szCs w:val="21"/>
        </w:rPr>
        <w:t>层次</w:t>
      </w:r>
      <w:r w:rsidRPr="00640230">
        <w:rPr>
          <w:rFonts w:ascii="Times New Roman" w:eastAsiaTheme="minorEastAsia" w:hAnsi="Times New Roman" w:cs="Times New Roman"/>
          <w:sz w:val="21"/>
          <w:szCs w:val="21"/>
        </w:rPr>
        <w:t>规定应达到的能力要求。试卷中对不同能力层次的试题比例大致是：</w:t>
      </w:r>
      <w:r w:rsidR="00640230">
        <w:rPr>
          <w:rFonts w:ascii="Times New Roman" w:eastAsiaTheme="minorEastAsia" w:hAnsi="Times New Roman" w:cs="Times New Roman" w:hint="eastAsia"/>
          <w:sz w:val="21"/>
          <w:szCs w:val="21"/>
        </w:rPr>
        <w:t>“</w:t>
      </w:r>
      <w:r w:rsidRPr="00640230">
        <w:rPr>
          <w:rFonts w:ascii="Times New Roman" w:eastAsiaTheme="minorEastAsia" w:hAnsi="Times New Roman" w:cs="Times New Roman"/>
          <w:sz w:val="21"/>
          <w:szCs w:val="21"/>
        </w:rPr>
        <w:t>识记</w:t>
      </w:r>
      <w:r w:rsidR="00640230">
        <w:rPr>
          <w:rFonts w:ascii="Times New Roman" w:eastAsiaTheme="minorEastAsia" w:hAnsi="Times New Roman"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15%</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理解</w:t>
      </w:r>
      <w:r w:rsidR="00640230">
        <w:rPr>
          <w:rFonts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30%</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应用</w:t>
      </w:r>
      <w:r w:rsidR="00640230">
        <w:rPr>
          <w:rFonts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55%</w:t>
      </w:r>
      <w:r w:rsidRPr="00640230">
        <w:rPr>
          <w:rFonts w:ascii="Times New Roman" w:eastAsiaTheme="minorEastAsia" w:hAnsi="Times New Roman" w:cs="Times New Roman"/>
          <w:sz w:val="21"/>
          <w:szCs w:val="21"/>
        </w:rPr>
        <w:t>。各能力层次为递进关系，后者</w:t>
      </w:r>
      <w:r w:rsidR="00640230">
        <w:rPr>
          <w:rFonts w:ascii="Times New Roman" w:eastAsiaTheme="minorEastAsia" w:hAnsi="Times New Roman" w:cs="Times New Roman" w:hint="eastAsia"/>
          <w:sz w:val="21"/>
          <w:szCs w:val="21"/>
        </w:rPr>
        <w:t>应</w:t>
      </w:r>
      <w:r w:rsidRPr="00640230">
        <w:rPr>
          <w:rFonts w:ascii="Times New Roman" w:eastAsiaTheme="minorEastAsia" w:hAnsi="Times New Roman" w:cs="Times New Roman"/>
          <w:sz w:val="21"/>
          <w:szCs w:val="21"/>
        </w:rPr>
        <w:t>建立在前者的基础上，其含义是：</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识记：能知道有关的名词、概念、知识的含义，并能正确认识和表述，是低层次的要求。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理解：在识记的基础上，能全面把握基本概念、基本原理、基本方法，能掌握有关概念、原理、方法的区别与联系，是较高层次的要求。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应用：在理解的基础上，能运用基本概念、基本原理、基本方法联系学过的多个知识点分析和解决有关的理论问题和实际问题，是最高层次的要求。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3</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试题难易程度应合理：较易、较难、难</w:t>
      </w:r>
      <w:r w:rsidR="00F1392E">
        <w:rPr>
          <w:rFonts w:ascii="Times New Roman" w:eastAsiaTheme="minorEastAsia" w:hAnsi="Times New Roman" w:cs="Times New Roman" w:hint="eastAsia"/>
          <w:sz w:val="21"/>
          <w:szCs w:val="21"/>
        </w:rPr>
        <w:t>的分数</w:t>
      </w:r>
      <w:r w:rsidRPr="00640230">
        <w:rPr>
          <w:rFonts w:ascii="Times New Roman" w:eastAsiaTheme="minorEastAsia" w:hAnsi="Times New Roman" w:cs="Times New Roman"/>
          <w:sz w:val="21"/>
          <w:szCs w:val="21"/>
        </w:rPr>
        <w:t>比例为</w:t>
      </w:r>
      <w:r w:rsidRPr="00640230">
        <w:rPr>
          <w:rFonts w:ascii="Times New Roman" w:eastAsiaTheme="minorEastAsia" w:hAnsi="Times New Roman" w:cs="Times New Roman"/>
          <w:sz w:val="21"/>
          <w:szCs w:val="21"/>
        </w:rPr>
        <w:t>3</w:t>
      </w:r>
      <w:r w:rsidRP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4</w:t>
      </w:r>
      <w:r w:rsidRP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3</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4</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每份试卷中，各类考核点所占比例约为：重点占</w:t>
      </w:r>
      <w:r w:rsidRPr="00640230">
        <w:rPr>
          <w:rFonts w:ascii="Times New Roman" w:eastAsiaTheme="minorEastAsia" w:hAnsi="Times New Roman" w:cs="Times New Roman"/>
          <w:sz w:val="21"/>
          <w:szCs w:val="21"/>
        </w:rPr>
        <w:t>65</w:t>
      </w:r>
      <w:r w:rsidRPr="00640230">
        <w:rPr>
          <w:rFonts w:ascii="Times New Roman" w:eastAsiaTheme="minorEastAsia" w:hAnsi="Times New Roman" w:cs="Times New Roman"/>
          <w:sz w:val="21"/>
          <w:szCs w:val="21"/>
        </w:rPr>
        <w:t>％，次重点占</w:t>
      </w:r>
      <w:r w:rsidRPr="00640230">
        <w:rPr>
          <w:rFonts w:ascii="Times New Roman" w:eastAsiaTheme="minorEastAsia" w:hAnsi="Times New Roman" w:cs="Times New Roman"/>
          <w:sz w:val="21"/>
          <w:szCs w:val="21"/>
        </w:rPr>
        <w:t>25</w:t>
      </w:r>
      <w:r w:rsidRPr="00640230">
        <w:rPr>
          <w:rFonts w:ascii="Times New Roman" w:eastAsiaTheme="minorEastAsia" w:hAnsi="Times New Roman" w:cs="Times New Roman"/>
          <w:sz w:val="21"/>
          <w:szCs w:val="21"/>
        </w:rPr>
        <w:t>％，一般占</w:t>
      </w:r>
      <w:r w:rsidRPr="00640230">
        <w:rPr>
          <w:rFonts w:ascii="Times New Roman" w:eastAsiaTheme="minorEastAsia" w:hAnsi="Times New Roman" w:cs="Times New Roman"/>
          <w:sz w:val="21"/>
          <w:szCs w:val="21"/>
        </w:rPr>
        <w:t>10</w:t>
      </w:r>
      <w:r w:rsidRPr="00640230">
        <w:rPr>
          <w:rFonts w:ascii="Times New Roman" w:eastAsiaTheme="minorEastAsia" w:hAnsi="Times New Roman" w:cs="Times New Roman"/>
          <w:sz w:val="21"/>
          <w:szCs w:val="21"/>
        </w:rPr>
        <w:t>％。</w:t>
      </w:r>
      <w:bookmarkStart w:id="0" w:name="_GoBack"/>
      <w:bookmarkEnd w:id="0"/>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074E69">
        <w:rPr>
          <w:rFonts w:ascii="Times New Roman" w:eastAsiaTheme="minorEastAsia" w:hAnsi="Times New Roman" w:cs="Times New Roman"/>
          <w:sz w:val="21"/>
          <w:szCs w:val="21"/>
        </w:rPr>
        <w:t>5</w:t>
      </w:r>
      <w:r w:rsidR="00640230" w:rsidRPr="00074E69">
        <w:rPr>
          <w:rFonts w:ascii="Times New Roman" w:eastAsiaTheme="minorEastAsia" w:hAnsi="Times New Roman" w:cs="Times New Roman"/>
          <w:sz w:val="21"/>
          <w:szCs w:val="21"/>
        </w:rPr>
        <w:t>．</w:t>
      </w:r>
      <w:r w:rsidRPr="00074E69">
        <w:rPr>
          <w:rFonts w:ascii="Times New Roman" w:eastAsiaTheme="minorEastAsia" w:hAnsi="Times New Roman" w:cs="Times New Roman"/>
          <w:sz w:val="21"/>
          <w:szCs w:val="21"/>
        </w:rPr>
        <w:t>试题类型一般分为：名词解释题、简答题、分析论述题。</w:t>
      </w:r>
    </w:p>
    <w:p w:rsidR="00B87C91" w:rsidRPr="00640230" w:rsidRDefault="00B87C91" w:rsidP="00640230">
      <w:pPr>
        <w:pStyle w:val="a8"/>
        <w:spacing w:before="0" w:beforeAutospacing="0" w:after="0" w:afterAutospacing="0" w:line="360" w:lineRule="auto"/>
        <w:ind w:firstLineChars="200" w:firstLine="420"/>
        <w:rPr>
          <w:rFonts w:ascii="Times New Roman" w:hAnsi="Times New Roman" w:cs="Times New Roman"/>
          <w:b/>
          <w:color w:val="000000"/>
          <w:spacing w:val="8"/>
          <w:sz w:val="21"/>
          <w:szCs w:val="21"/>
        </w:rPr>
      </w:pPr>
      <w:r w:rsidRPr="00640230">
        <w:rPr>
          <w:rFonts w:ascii="Times New Roman" w:eastAsiaTheme="minorEastAsia" w:hAnsi="Times New Roman" w:cs="Times New Roman"/>
          <w:sz w:val="21"/>
          <w:szCs w:val="21"/>
        </w:rPr>
        <w:t>6</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考试采用闭卷、笔试方式，考试时间为</w:t>
      </w:r>
      <w:r w:rsidRPr="00640230">
        <w:rPr>
          <w:rFonts w:ascii="Times New Roman" w:eastAsiaTheme="minorEastAsia" w:hAnsi="Times New Roman" w:cs="Times New Roman"/>
          <w:sz w:val="21"/>
          <w:szCs w:val="21"/>
        </w:rPr>
        <w:t>150</w:t>
      </w:r>
      <w:r w:rsidRPr="00640230">
        <w:rPr>
          <w:rFonts w:ascii="Times New Roman" w:eastAsiaTheme="minorEastAsia" w:hAnsi="Times New Roman" w:cs="Times New Roman"/>
          <w:sz w:val="21"/>
          <w:szCs w:val="21"/>
        </w:rPr>
        <w:t>分钟，采用百分制评分。</w:t>
      </w:r>
    </w:p>
    <w:p w:rsidR="00B87C91" w:rsidRPr="00640230" w:rsidRDefault="00B87C91" w:rsidP="00640230">
      <w:pPr>
        <w:widowControl/>
        <w:autoSpaceDE w:val="0"/>
        <w:autoSpaceDN w:val="0"/>
        <w:adjustRightInd w:val="0"/>
        <w:spacing w:before="240" w:line="360" w:lineRule="auto"/>
        <w:jc w:val="left"/>
        <w:rPr>
          <w:rFonts w:ascii="Times New Roman" w:hAnsi="Times New Roman" w:cs="Times New Roman"/>
          <w:kern w:val="0"/>
          <w:sz w:val="21"/>
          <w:szCs w:val="21"/>
        </w:rPr>
      </w:pPr>
      <w:r w:rsidRPr="00640230">
        <w:rPr>
          <w:rFonts w:ascii="Times New Roman" w:hAnsi="Times New Roman" w:cs="Times New Roman"/>
          <w:b/>
          <w:color w:val="000000"/>
          <w:spacing w:val="8"/>
          <w:kern w:val="0"/>
          <w:sz w:val="21"/>
          <w:szCs w:val="21"/>
        </w:rPr>
        <w:t>第二部分　考试范围</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b/>
          <w:kern w:val="0"/>
          <w:sz w:val="21"/>
          <w:szCs w:val="21"/>
        </w:rPr>
      </w:pPr>
      <w:r w:rsidRPr="00640230">
        <w:rPr>
          <w:rFonts w:ascii="Times New Roman" w:hAnsi="Times New Roman" w:cs="Times New Roman"/>
          <w:b/>
          <w:kern w:val="0"/>
          <w:sz w:val="21"/>
          <w:szCs w:val="21"/>
        </w:rPr>
        <w:t>（一）公共管理学</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公共管理导论</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公共管理的意义</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公共管理与私</w:t>
      </w:r>
      <w:r w:rsidR="004A5491" w:rsidRPr="00640230">
        <w:rPr>
          <w:rFonts w:ascii="Times New Roman" w:hAnsi="Times New Roman" w:cs="Times New Roman"/>
          <w:sz w:val="21"/>
          <w:szCs w:val="21"/>
        </w:rPr>
        <w:t>人</w:t>
      </w:r>
      <w:r w:rsidRPr="00640230">
        <w:rPr>
          <w:rFonts w:ascii="Times New Roman" w:hAnsi="Times New Roman" w:cs="Times New Roman"/>
          <w:sz w:val="21"/>
          <w:szCs w:val="21"/>
        </w:rPr>
        <w:t>部门管理的区别</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新公共管理</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2</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公共管理者的角色与知能</w:t>
      </w:r>
    </w:p>
    <w:p w:rsidR="00A65654"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作为公共管理者的特殊角色</w:t>
      </w:r>
    </w:p>
    <w:p w:rsidR="00A65654"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公共管理者的技能</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有效的公共管理者</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3</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公共部门的角色</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市场失灵与政府干预</w:t>
      </w:r>
      <w:r w:rsidR="00E52BDF" w:rsidRPr="00640230" w:rsidDel="00E52BDF">
        <w:rPr>
          <w:rFonts w:ascii="Times New Roman" w:hAnsi="Times New Roman" w:cs="Times New Roman"/>
          <w:sz w:val="21"/>
          <w:szCs w:val="21"/>
        </w:rPr>
        <w:t xml:space="preserve"> </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政府治理工具的选择</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政府失灵</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矫正政府失灵和市场失灵的策略</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4</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公共部门战略管理</w:t>
      </w:r>
    </w:p>
    <w:p w:rsidR="00E52BD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公共部门战略管理过程</w:t>
      </w:r>
    </w:p>
    <w:p w:rsidR="00E52BDF" w:rsidRPr="00640230" w:rsidRDefault="00E52BDF"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SWOT</w:t>
      </w:r>
      <w:r w:rsidRPr="00640230">
        <w:rPr>
          <w:rFonts w:ascii="Times New Roman" w:hAnsi="Times New Roman" w:cs="Times New Roman"/>
          <w:sz w:val="21"/>
          <w:szCs w:val="21"/>
        </w:rPr>
        <w:t>分析与战略规划</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公共部门战略管理的问题与改进</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5</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公共政策的设计、执行与评估</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公共政策的</w:t>
      </w:r>
      <w:r w:rsidR="004D22B7" w:rsidRPr="00640230">
        <w:rPr>
          <w:rFonts w:ascii="Times New Roman" w:hAnsi="Times New Roman" w:cs="Times New Roman"/>
          <w:sz w:val="21"/>
          <w:szCs w:val="21"/>
        </w:rPr>
        <w:t>类型</w:t>
      </w:r>
      <w:r w:rsidR="00F00C93" w:rsidRPr="00640230" w:rsidDel="00F00C93">
        <w:rPr>
          <w:rFonts w:ascii="Times New Roman" w:hAnsi="Times New Roman" w:cs="Times New Roman"/>
          <w:sz w:val="21"/>
          <w:szCs w:val="21"/>
        </w:rPr>
        <w:t xml:space="preserve"> </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政策规划</w:t>
      </w:r>
      <w:r w:rsidR="00173AB3" w:rsidRPr="00640230">
        <w:rPr>
          <w:rFonts w:ascii="Times New Roman" w:hAnsi="Times New Roman" w:cs="Times New Roman"/>
          <w:sz w:val="21"/>
          <w:szCs w:val="21"/>
        </w:rPr>
        <w:t>的原则与步骤</w:t>
      </w:r>
    </w:p>
    <w:p w:rsidR="00597E41" w:rsidRPr="00640230" w:rsidRDefault="00173AB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影响政策执行力的主要因素</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公共政策评估</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6</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公共组织管理</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公共组织设计与管理的一般原则</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传统科层组织</w:t>
      </w:r>
      <w:r w:rsidR="00960CDD" w:rsidRPr="00640230">
        <w:rPr>
          <w:rFonts w:ascii="Times New Roman" w:hAnsi="Times New Roman" w:cs="Times New Roman"/>
          <w:sz w:val="21"/>
          <w:szCs w:val="21"/>
        </w:rPr>
        <w:t>的特征</w:t>
      </w:r>
      <w:r w:rsidRPr="00640230">
        <w:rPr>
          <w:rFonts w:ascii="Times New Roman" w:hAnsi="Times New Roman" w:cs="Times New Roman"/>
          <w:sz w:val="21"/>
          <w:szCs w:val="21"/>
        </w:rPr>
        <w:t>及其困境</w:t>
      </w:r>
    </w:p>
    <w:p w:rsidR="00B87C91" w:rsidRPr="00640230" w:rsidRDefault="00893A0E"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学习型组织的特征与建立</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7</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公共组织中的领导</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领导与影响力系统</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领导权力与领导效能</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领导方式与领导效能</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权变领导理论</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转换型领导理论</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8</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w:t>
      </w:r>
      <w:r w:rsidR="00597E41" w:rsidRPr="00640230">
        <w:rPr>
          <w:rFonts w:ascii="Times New Roman" w:hAnsi="Times New Roman" w:cs="Times New Roman"/>
          <w:kern w:val="0"/>
          <w:sz w:val="21"/>
          <w:szCs w:val="21"/>
        </w:rPr>
        <w:t>共部门</w:t>
      </w:r>
      <w:r w:rsidRPr="00640230">
        <w:rPr>
          <w:rFonts w:ascii="Times New Roman" w:hAnsi="Times New Roman" w:cs="Times New Roman"/>
          <w:kern w:val="0"/>
          <w:sz w:val="21"/>
          <w:szCs w:val="21"/>
        </w:rPr>
        <w:t>人力资源管理</w:t>
      </w:r>
    </w:p>
    <w:p w:rsidR="004A5DE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人力资源的特性</w:t>
      </w:r>
    </w:p>
    <w:p w:rsidR="004A5DE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人力资源管理的</w:t>
      </w:r>
      <w:r w:rsidR="00CD279D" w:rsidRPr="00640230">
        <w:rPr>
          <w:rFonts w:ascii="Times New Roman" w:hAnsi="Times New Roman" w:cs="Times New Roman"/>
          <w:sz w:val="21"/>
          <w:szCs w:val="21"/>
        </w:rPr>
        <w:t>内涵与</w:t>
      </w:r>
      <w:r w:rsidRPr="00640230">
        <w:rPr>
          <w:rFonts w:ascii="Times New Roman" w:hAnsi="Times New Roman" w:cs="Times New Roman"/>
          <w:sz w:val="21"/>
          <w:szCs w:val="21"/>
        </w:rPr>
        <w:t>功能</w:t>
      </w:r>
    </w:p>
    <w:p w:rsidR="00B87C91" w:rsidRPr="00640230" w:rsidRDefault="00965C4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w:t>
      </w:r>
      <w:r w:rsidR="00B87C91" w:rsidRPr="00640230">
        <w:rPr>
          <w:rFonts w:ascii="Times New Roman" w:hAnsi="Times New Roman" w:cs="Times New Roman"/>
          <w:sz w:val="21"/>
          <w:szCs w:val="21"/>
        </w:rPr>
        <w:t>人力资源管理的新趋势</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lastRenderedPageBreak/>
        <w:t>9</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公共预算与财务管理</w:t>
      </w:r>
    </w:p>
    <w:p w:rsidR="001D4F10"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公共预算的性质、功能</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公共预算的原则</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政府预算制度及其评估</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政府采购管理</w:t>
      </w:r>
    </w:p>
    <w:p w:rsidR="008D1372" w:rsidRPr="00640230" w:rsidRDefault="00B87C91" w:rsidP="00640230">
      <w:pPr>
        <w:pStyle w:val="a3"/>
        <w:numPr>
          <w:ilvl w:val="0"/>
          <w:numId w:val="2"/>
        </w:numPr>
        <w:spacing w:line="360" w:lineRule="auto"/>
        <w:ind w:firstLineChars="0"/>
        <w:rPr>
          <w:rFonts w:ascii="Times New Roman" w:hAnsi="Times New Roman" w:cs="Times New Roman"/>
          <w:kern w:val="0"/>
          <w:sz w:val="21"/>
          <w:szCs w:val="21"/>
        </w:rPr>
      </w:pPr>
      <w:r w:rsidRPr="00640230">
        <w:rPr>
          <w:rFonts w:ascii="Times New Roman" w:hAnsi="Times New Roman" w:cs="Times New Roman"/>
          <w:sz w:val="21"/>
          <w:szCs w:val="21"/>
        </w:rPr>
        <w:t>政府财务审计</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10</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信息资源管理与电子化政府</w:t>
      </w:r>
    </w:p>
    <w:p w:rsidR="00952103"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信息与公共管理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电子化政府</w:t>
      </w:r>
      <w:r w:rsidR="00E73062" w:rsidRPr="00640230">
        <w:rPr>
          <w:rFonts w:ascii="Times New Roman" w:hAnsi="Times New Roman" w:cs="Times New Roman"/>
          <w:sz w:val="21"/>
          <w:szCs w:val="21"/>
        </w:rPr>
        <w:t>的特征</w:t>
      </w:r>
    </w:p>
    <w:p w:rsidR="00E73062" w:rsidRPr="00640230" w:rsidRDefault="00E7306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中国电子化政府发展的问题与前景</w:t>
      </w:r>
    </w:p>
    <w:p w:rsidR="00892007"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11</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公共服务的绩效管理</w:t>
      </w:r>
    </w:p>
    <w:p w:rsidR="0089200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公共部门的绩效指标</w:t>
      </w:r>
    </w:p>
    <w:p w:rsidR="0089200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标杆管理与绩效管理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公共部门绩效管理的问题以及改进策略</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12</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公共危机管理</w:t>
      </w:r>
    </w:p>
    <w:p w:rsidR="007363AB"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危机的性质与影响</w:t>
      </w:r>
    </w:p>
    <w:p w:rsidR="007363AB"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公共危机管理的战略</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公共危机管理的阶段与政策</w:t>
      </w:r>
    </w:p>
    <w:p w:rsidR="00B87C91" w:rsidRPr="00640230" w:rsidRDefault="00597E4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13</w:t>
      </w:r>
      <w:r w:rsidR="00640230">
        <w:rPr>
          <w:rFonts w:ascii="Times New Roman" w:hAnsi="Times New Roman" w:cs="Times New Roman"/>
          <w:kern w:val="0"/>
          <w:sz w:val="21"/>
          <w:szCs w:val="21"/>
        </w:rPr>
        <w:t>．</w:t>
      </w:r>
      <w:r w:rsidRPr="00640230">
        <w:rPr>
          <w:rFonts w:ascii="Times New Roman" w:hAnsi="Times New Roman" w:cs="Times New Roman"/>
          <w:kern w:val="0"/>
          <w:sz w:val="21"/>
          <w:szCs w:val="21"/>
        </w:rPr>
        <w:t xml:space="preserve"> </w:t>
      </w:r>
      <w:r w:rsidR="00B87C91" w:rsidRPr="00640230">
        <w:rPr>
          <w:rFonts w:ascii="Times New Roman" w:hAnsi="Times New Roman" w:cs="Times New Roman"/>
          <w:kern w:val="0"/>
          <w:sz w:val="21"/>
          <w:szCs w:val="21"/>
        </w:rPr>
        <w:t>公共管理的新策略</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公共服务的民营化</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非营利组织与公共服务</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公共部门的目标管理</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公共部门的全面质量管理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公共管理的顾客导向</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14</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公共管理中的责任与伦理</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公共管理责任</w:t>
      </w:r>
      <w:r w:rsidR="001D57B2" w:rsidRPr="00640230">
        <w:rPr>
          <w:rFonts w:ascii="Times New Roman" w:hAnsi="Times New Roman" w:cs="Times New Roman"/>
          <w:sz w:val="21"/>
          <w:szCs w:val="21"/>
        </w:rPr>
        <w:t>的</w:t>
      </w:r>
      <w:r w:rsidRPr="00640230">
        <w:rPr>
          <w:rFonts w:ascii="Times New Roman" w:hAnsi="Times New Roman" w:cs="Times New Roman"/>
          <w:sz w:val="21"/>
          <w:szCs w:val="21"/>
        </w:rPr>
        <w:t>性质</w:t>
      </w:r>
      <w:r w:rsidR="001D57B2" w:rsidRPr="00640230">
        <w:rPr>
          <w:rFonts w:ascii="Times New Roman" w:hAnsi="Times New Roman" w:cs="Times New Roman"/>
          <w:sz w:val="21"/>
          <w:szCs w:val="21"/>
        </w:rPr>
        <w:t>与内涵</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责任的行政控制机制</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立法控制与责任</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司法控制机制与责任</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公民参与责任的维护</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公共管理职业与职业伦理</w:t>
      </w:r>
    </w:p>
    <w:p w:rsidR="00B87C91" w:rsidRPr="00640230" w:rsidRDefault="00B87C91" w:rsidP="00640230">
      <w:pPr>
        <w:spacing w:line="360" w:lineRule="auto"/>
        <w:rPr>
          <w:rFonts w:ascii="Times New Roman" w:hAnsi="Times New Roman" w:cs="Times New Roman"/>
          <w:kern w:val="0"/>
          <w:sz w:val="21"/>
          <w:szCs w:val="21"/>
        </w:rPr>
      </w:pPr>
      <w:r w:rsidRPr="00640230">
        <w:rPr>
          <w:rFonts w:ascii="Times New Roman" w:hAnsi="Times New Roman" w:cs="Times New Roman"/>
          <w:kern w:val="0"/>
          <w:sz w:val="21"/>
          <w:szCs w:val="21"/>
        </w:rPr>
        <w:t>15</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政府再造</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政府再造的内涵与背景</w:t>
      </w:r>
    </w:p>
    <w:p w:rsidR="001D57B2" w:rsidRPr="00640230" w:rsidRDefault="001D57B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国际政府再造的做法与经验</w:t>
      </w:r>
    </w:p>
    <w:p w:rsidR="00B87C91" w:rsidRPr="00640230" w:rsidRDefault="008D1372" w:rsidP="00640230">
      <w:pPr>
        <w:pStyle w:val="a3"/>
        <w:numPr>
          <w:ilvl w:val="0"/>
          <w:numId w:val="4"/>
        </w:numPr>
        <w:spacing w:line="360" w:lineRule="auto"/>
        <w:ind w:firstLineChars="0"/>
        <w:rPr>
          <w:rFonts w:ascii="Times New Roman" w:hAnsi="Times New Roman" w:cs="Times New Roman"/>
          <w:b/>
          <w:sz w:val="21"/>
          <w:szCs w:val="21"/>
        </w:rPr>
      </w:pPr>
      <w:r w:rsidRPr="00640230">
        <w:rPr>
          <w:rFonts w:ascii="Times New Roman" w:hAnsi="Times New Roman" w:cs="Times New Roman"/>
          <w:b/>
          <w:sz w:val="21"/>
          <w:szCs w:val="21"/>
        </w:rPr>
        <w:t>管理学原理</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管理者与管理工作</w:t>
      </w:r>
    </w:p>
    <w:p w:rsidR="002007A1" w:rsidRPr="00640230" w:rsidRDefault="002007A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管理的概念、作用和任务</w:t>
      </w:r>
    </w:p>
    <w:p w:rsidR="002007A1" w:rsidRPr="00640230" w:rsidRDefault="008E540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管理者的职责和技能</w:t>
      </w:r>
    </w:p>
    <w:p w:rsidR="008E540A" w:rsidRPr="00640230" w:rsidRDefault="00D672FC"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管理的过程、特性和适</w:t>
      </w:r>
      <w:r w:rsidR="008E540A" w:rsidRPr="00640230">
        <w:rPr>
          <w:rFonts w:ascii="Times New Roman" w:hAnsi="Times New Roman" w:cs="Times New Roman"/>
          <w:sz w:val="21"/>
          <w:szCs w:val="21"/>
        </w:rPr>
        <w:t>用范围</w:t>
      </w:r>
    </w:p>
    <w:p w:rsidR="003478C5" w:rsidRPr="00640230" w:rsidRDefault="003478C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管理工作所面对的环境</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管理决策</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决策的含义与过程</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决策的要素与类型</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个体决策的基本方法</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群体决策的基本方法</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w:t>
      </w:r>
    </w:p>
    <w:p w:rsidR="005D341B"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计划工作的实质和意义</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计划工作的类型</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计划工作的程序</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目标及目标制定</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计划方案的制定</w:t>
      </w:r>
    </w:p>
    <w:p w:rsidR="006E43CA" w:rsidRPr="00640230" w:rsidRDefault="00722064"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制定计划的技术</w:t>
      </w:r>
      <w:r w:rsidR="006E43CA" w:rsidRPr="00640230">
        <w:rPr>
          <w:rFonts w:ascii="Times New Roman" w:hAnsi="Times New Roman" w:cs="Times New Roman"/>
          <w:sz w:val="21"/>
          <w:szCs w:val="21"/>
        </w:rPr>
        <w:t>方法</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组织工作的基本内容和过程</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职务设计与人员配备</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部门划分与整合</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组织中的职权关系</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组织中的流程关系</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常见的组织结构形式</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组织运作中的主要问题</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组织变革</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领导的本质与内容</w:t>
      </w:r>
    </w:p>
    <w:p w:rsidR="00E45BB5" w:rsidRPr="00640230" w:rsidRDefault="0076253F"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领导的权力</w:t>
      </w:r>
      <w:r w:rsidR="00E45BB5" w:rsidRPr="00640230">
        <w:rPr>
          <w:rFonts w:ascii="Times New Roman" w:hAnsi="Times New Roman" w:cs="Times New Roman"/>
          <w:sz w:val="21"/>
          <w:szCs w:val="21"/>
        </w:rPr>
        <w:t>基础</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领导效能的决定因素及有关的领导理论</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人性假设与激励</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信息沟通</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组织气氛与组织文化</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控制</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控制的含义与作用</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管理控制的过程与要素</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管理控制的类型与方法</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管理控制的基本原则</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管理思想的演变</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古典管理思想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行为管理思想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定量管理思想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系统和权变管理思想</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人力资源管理过程</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人力资源管理的任务与过程</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人力资源计划的制定</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人力资源管理工作的组织</w:t>
      </w:r>
    </w:p>
    <w:p w:rsidR="002007A1"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员工行为的引导与控制</w:t>
      </w:r>
    </w:p>
    <w:sectPr w:rsidR="002007A1" w:rsidRPr="00640230" w:rsidSect="00D754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600" w:rsidRDefault="009D6600" w:rsidP="00B87C91">
      <w:r>
        <w:separator/>
      </w:r>
    </w:p>
  </w:endnote>
  <w:endnote w:type="continuationSeparator" w:id="0">
    <w:p w:rsidR="009D6600" w:rsidRDefault="009D6600" w:rsidP="00B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600" w:rsidRDefault="009D6600" w:rsidP="00B87C91">
      <w:r>
        <w:separator/>
      </w:r>
    </w:p>
  </w:footnote>
  <w:footnote w:type="continuationSeparator" w:id="0">
    <w:p w:rsidR="009D6600" w:rsidRDefault="009D6600" w:rsidP="00B8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889"/>
    <w:multiLevelType w:val="hybridMultilevel"/>
    <w:tmpl w:val="F25C62D4"/>
    <w:lvl w:ilvl="0" w:tplc="16E49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203A99"/>
    <w:multiLevelType w:val="hybridMultilevel"/>
    <w:tmpl w:val="00D2B090"/>
    <w:lvl w:ilvl="0" w:tplc="9C668C18">
      <w:start w:val="1"/>
      <w:numFmt w:val="bullet"/>
      <w:lvlText w:val="-"/>
      <w:lvlJc w:val="left"/>
      <w:pPr>
        <w:ind w:left="420" w:hanging="42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37793"/>
    <w:multiLevelType w:val="hybridMultilevel"/>
    <w:tmpl w:val="60BEC114"/>
    <w:lvl w:ilvl="0" w:tplc="239A0D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2B1214"/>
    <w:multiLevelType w:val="hybridMultilevel"/>
    <w:tmpl w:val="024A1F00"/>
    <w:lvl w:ilvl="0" w:tplc="234A1ADE">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412B93"/>
    <w:multiLevelType w:val="hybridMultilevel"/>
    <w:tmpl w:val="3BB284F0"/>
    <w:lvl w:ilvl="0" w:tplc="40F4484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2MDQyMTa3sLA0NjJX0lEKTi0uzszPAykwqQUAixKBqSwAAAA="/>
  </w:docVars>
  <w:rsids>
    <w:rsidRoot w:val="0051124D"/>
    <w:rsid w:val="00074E69"/>
    <w:rsid w:val="0008791C"/>
    <w:rsid w:val="000B13ED"/>
    <w:rsid w:val="000B1D2F"/>
    <w:rsid w:val="00106CE4"/>
    <w:rsid w:val="00173AB3"/>
    <w:rsid w:val="00197C79"/>
    <w:rsid w:val="001D0323"/>
    <w:rsid w:val="001D4F10"/>
    <w:rsid w:val="001D57B2"/>
    <w:rsid w:val="002007A1"/>
    <w:rsid w:val="00260E98"/>
    <w:rsid w:val="0027751A"/>
    <w:rsid w:val="00292B09"/>
    <w:rsid w:val="002B0DE3"/>
    <w:rsid w:val="003478C5"/>
    <w:rsid w:val="0038609E"/>
    <w:rsid w:val="003A789A"/>
    <w:rsid w:val="003E16EE"/>
    <w:rsid w:val="003F48DE"/>
    <w:rsid w:val="004619C4"/>
    <w:rsid w:val="004A5491"/>
    <w:rsid w:val="004A5DE7"/>
    <w:rsid w:val="004D22B7"/>
    <w:rsid w:val="0051124D"/>
    <w:rsid w:val="00516514"/>
    <w:rsid w:val="00597E41"/>
    <w:rsid w:val="005D341B"/>
    <w:rsid w:val="00640230"/>
    <w:rsid w:val="00644113"/>
    <w:rsid w:val="00691594"/>
    <w:rsid w:val="006E43CA"/>
    <w:rsid w:val="006F0397"/>
    <w:rsid w:val="00722064"/>
    <w:rsid w:val="007363AB"/>
    <w:rsid w:val="0076253F"/>
    <w:rsid w:val="007C3EC3"/>
    <w:rsid w:val="00815192"/>
    <w:rsid w:val="00831EBF"/>
    <w:rsid w:val="00871692"/>
    <w:rsid w:val="00892007"/>
    <w:rsid w:val="00893A0E"/>
    <w:rsid w:val="008A38B3"/>
    <w:rsid w:val="008B133B"/>
    <w:rsid w:val="008C1C69"/>
    <w:rsid w:val="008D1372"/>
    <w:rsid w:val="008E540A"/>
    <w:rsid w:val="009168A2"/>
    <w:rsid w:val="00952103"/>
    <w:rsid w:val="00960CDD"/>
    <w:rsid w:val="00965C42"/>
    <w:rsid w:val="009859D0"/>
    <w:rsid w:val="009A2ADD"/>
    <w:rsid w:val="009D6600"/>
    <w:rsid w:val="00A65654"/>
    <w:rsid w:val="00A673F3"/>
    <w:rsid w:val="00A80417"/>
    <w:rsid w:val="00AB3D28"/>
    <w:rsid w:val="00B2239B"/>
    <w:rsid w:val="00B87C91"/>
    <w:rsid w:val="00BC7E96"/>
    <w:rsid w:val="00C116FC"/>
    <w:rsid w:val="00C25280"/>
    <w:rsid w:val="00C35CFE"/>
    <w:rsid w:val="00C757CE"/>
    <w:rsid w:val="00C76ADF"/>
    <w:rsid w:val="00CD279D"/>
    <w:rsid w:val="00D17AF5"/>
    <w:rsid w:val="00D213D3"/>
    <w:rsid w:val="00D32E44"/>
    <w:rsid w:val="00D43A21"/>
    <w:rsid w:val="00D623C3"/>
    <w:rsid w:val="00D672FC"/>
    <w:rsid w:val="00D754D6"/>
    <w:rsid w:val="00E45BB5"/>
    <w:rsid w:val="00E52BDF"/>
    <w:rsid w:val="00E73062"/>
    <w:rsid w:val="00ED17BB"/>
    <w:rsid w:val="00F00C93"/>
    <w:rsid w:val="00F1392E"/>
    <w:rsid w:val="00F222D2"/>
    <w:rsid w:val="00F85B72"/>
    <w:rsid w:val="00F94B70"/>
    <w:rsid w:val="00FD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74785B-0CDB-4735-A0D1-DD514C6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A1"/>
    <w:pPr>
      <w:ind w:firstLineChars="200" w:firstLine="420"/>
    </w:pPr>
  </w:style>
  <w:style w:type="paragraph" w:styleId="a4">
    <w:name w:val="header"/>
    <w:basedOn w:val="a"/>
    <w:link w:val="a5"/>
    <w:uiPriority w:val="99"/>
    <w:unhideWhenUsed/>
    <w:rsid w:val="00B87C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7C91"/>
    <w:rPr>
      <w:sz w:val="18"/>
      <w:szCs w:val="18"/>
    </w:rPr>
  </w:style>
  <w:style w:type="paragraph" w:styleId="a6">
    <w:name w:val="footer"/>
    <w:basedOn w:val="a"/>
    <w:link w:val="a7"/>
    <w:uiPriority w:val="99"/>
    <w:unhideWhenUsed/>
    <w:rsid w:val="00B87C91"/>
    <w:pPr>
      <w:tabs>
        <w:tab w:val="center" w:pos="4153"/>
        <w:tab w:val="right" w:pos="8306"/>
      </w:tabs>
      <w:snapToGrid w:val="0"/>
      <w:jc w:val="left"/>
    </w:pPr>
    <w:rPr>
      <w:sz w:val="18"/>
      <w:szCs w:val="18"/>
    </w:rPr>
  </w:style>
  <w:style w:type="character" w:customStyle="1" w:styleId="a7">
    <w:name w:val="页脚 字符"/>
    <w:basedOn w:val="a0"/>
    <w:link w:val="a6"/>
    <w:uiPriority w:val="99"/>
    <w:rsid w:val="00B87C91"/>
    <w:rPr>
      <w:sz w:val="18"/>
      <w:szCs w:val="18"/>
    </w:rPr>
  </w:style>
  <w:style w:type="paragraph" w:styleId="a8">
    <w:name w:val="Normal (Web)"/>
    <w:basedOn w:val="a"/>
    <w:rsid w:val="00B87C91"/>
    <w:pPr>
      <w:widowControl/>
      <w:spacing w:before="100" w:beforeAutospacing="1" w:after="100" w:afterAutospacing="1"/>
      <w:jc w:val="left"/>
    </w:pPr>
    <w:rPr>
      <w:rFonts w:ascii="宋体" w:eastAsia="宋体" w:hAnsi="宋体" w:cs="宋体"/>
      <w:kern w:val="0"/>
    </w:rPr>
  </w:style>
  <w:style w:type="paragraph" w:styleId="a9">
    <w:name w:val="Balloon Text"/>
    <w:basedOn w:val="a"/>
    <w:link w:val="aa"/>
    <w:uiPriority w:val="99"/>
    <w:semiHidden/>
    <w:unhideWhenUsed/>
    <w:rsid w:val="004A5491"/>
    <w:rPr>
      <w:sz w:val="18"/>
      <w:szCs w:val="18"/>
    </w:rPr>
  </w:style>
  <w:style w:type="character" w:customStyle="1" w:styleId="aa">
    <w:name w:val="批注框文本 字符"/>
    <w:basedOn w:val="a0"/>
    <w:link w:val="a9"/>
    <w:uiPriority w:val="99"/>
    <w:semiHidden/>
    <w:rsid w:val="004A5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1468</Characters>
  <Application>Microsoft Office Word</Application>
  <DocSecurity>0</DocSecurity>
  <Lines>12</Lines>
  <Paragraphs>3</Paragraphs>
  <ScaleCrop>false</ScaleCrop>
  <Company>Lenovo</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LiHe</dc:creator>
  <cp:lastModifiedBy>Windows 用户</cp:lastModifiedBy>
  <cp:revision>4</cp:revision>
  <dcterms:created xsi:type="dcterms:W3CDTF">2021-07-09T05:23:00Z</dcterms:created>
  <dcterms:modified xsi:type="dcterms:W3CDTF">2021-07-09T05:47:00Z</dcterms:modified>
</cp:coreProperties>
</file>