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12" w:beforeLines="100" w:after="0" w:line="45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818经济法学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考试科目考试大纲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28"/>
          <w:szCs w:val="28"/>
        </w:rPr>
        <w:t>I.考试性质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818 经济法学是为我校招收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学硕士研究生而设置的具有选拔性质的自命题科目。其目的是科学、公平、有效地测试考生是否具备继续攻读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学硕士学位所需要的知识和能力要求，评价的标准是高等学校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学学科优秀本科毕业生所能达到的及格或及格以上水平，以利于各高等院校和科研院所择优选拔，确保硕士研究生的招生质量。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28"/>
          <w:szCs w:val="28"/>
        </w:rPr>
        <w:t>II.考查目标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涵盖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经济法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商法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环境法及其子部门法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等法学科目。要求学生掌握相关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基本概念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原理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具有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运用经济法、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商法及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环境法基本理论分析实际问题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能力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，具有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案例分析与研究能力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并对学科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最新发展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理解与研究能力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。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28"/>
          <w:szCs w:val="28"/>
        </w:rPr>
        <w:t>III.考试形式和试卷结构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一、试卷满分及考试时间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试卷满分为150分，考试时间为180分钟.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二、答题方式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答题方式为闭卷、笔试.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三、试卷内容结构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经济法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44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%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商法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%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环境法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26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%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四、试卷题型结构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简答题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小题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，每小题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分，共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60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论述题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小题，每小题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30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分，共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90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分</w:t>
      </w:r>
    </w:p>
    <w:p>
      <w:pPr>
        <w:pStyle w:val="3"/>
        <w:widowControl/>
        <w:spacing w:before="0" w:beforeAutospacing="0" w:after="0" w:afterAutospacing="0" w:line="462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28"/>
          <w:szCs w:val="28"/>
        </w:rPr>
        <w:t>Ⅳ.考查内容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一、经济法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经济法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基础理论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经济法的定义、调整对象、体系和地位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经济法的宗旨和基本原则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经济法的主体及其行为，经济法主体的权利、义务和责任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1.理解经济法的定义、调整对象、体系和地位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理解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经济法的宗旨和基本原则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经济法的主体及其行为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3.理解经济法主体的权利、义务和责任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（二）宏观调控法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宏观调控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法的理论基础、体系构成、调整方式及基本制度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；财政法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包括政府采购法；税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收法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包括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税收的概念与特征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税法的基本原则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，增值税法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、消费税法、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企业所得税法、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个人所得税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法。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了解宏观调控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法的理论基础、体系构成、调整方式及基本制度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2.了解财政法律制度基本法律制度；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.理解税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收法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基本法律制度和不同类型税种的区别与联系。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（三）市场规制法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市场规制法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的理论基础、体系构成、调整方式及基本制度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，反垄断法、反不正当竞争法和消费者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权益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保护法。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（1）了解市场规制法相关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（2）理解竞争法相关法律制度；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（3）理解消费者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权益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保护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相关法律制度。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商法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）商法总论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商法的概念和调整对象，商法的原则，商法的体系，商法与其他部门法的关系，商事纠纷及其解决机制。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了解商法的基本含义和调整对象的特点；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能归纳商法的原则并阐明其独特性；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能对商法与其他部门法进行比较研究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能阐明商事纠纷及其解决机制的特征。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（二）商主体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商事主体的概念、种类、商业名称及商事登记制度。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了解商事主体的概念和种类；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能分析商业名称在知识产权领域的意义；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理解商事登记制度的主要规定。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公司法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公司的概念与基本制度；公司的资本制度；股份与股权；公司的组织机构；公司的合并与分立；公司的解散与清算。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了解公司的含义与基本制度；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能结合案例理解并分析公司的资本运作和股权处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了解公司组织机构的特点；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掌握公司变化的程序与条件。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（四）非公司企业法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个人独资企业的主要规定；合伙企业的主要规定；外资企业的主要规定。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了解个人独资企业和外资企业的含义与基本特征；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理解合伙企业的主要法律规定。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商业银行法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商业银行的概念与特征；商业银行的设立、变更、接管和终止；商业银行业务与经营原则。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了解商业银行的概念与特征；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理解商业银行变化的程序与要求；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熟悉掌握商业银行的业务与经营原则。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票据法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票据基本法律制度；汇票、本票和支票的主要法律规定。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理解票据主要法律制度的运行规则；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了解各种票据的基本特征和主要区别。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保险法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保险的概念与基本属性；保险法的基本原则；保险合同；保险业法。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了解保险的基本概念与属性；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理解保险法的基本原则；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理解保险合同的主要规定并能比较分析各种保险合同的不同特征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了解保险业法的主要内容。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（八）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破产法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考试内容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破产程序涉及的主要主体及其概念；破产财产的清理；破产重整制度、和解制度及清算制度。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考试要求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了解破产程序中各主体的基本概念；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理解破产财产清理中的各项权利；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Hans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比较分析破产程序三大制度，尤其熟悉掌握重整制度的流程和特点。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三、环境法学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（一）环境法的基本概念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考试内容：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环境、自然资源、生态系统、生态系统服务；环境法律关系：主体、环境权、环境义务；环境法的概念和特征；环境法的体系。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考试要求：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1.理解环境、自然资源、生态系统、生态系统服务的概念及相互关系；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2.掌握环境法律关系的核心要素；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3.理解环境法与其他部门法的区别；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4.掌握环境法的制度体系。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（二）环境法的理念和基本原则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考试内容：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环境法的理念，如人与自然和谐相处、人类命运共同体等；环境法的基本原则，如保护优先、损害者担责等。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考试要求：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1.理解并运用环境法理念；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2.掌握环境法基本原则的内涵及贯彻落实。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（三）环境法的主要制度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考试内容：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“命令——控制”型制度，以市场为基础的制度；社会性制度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考试要求：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掌握环境法制度体系的内容。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（四）环境法律责任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考试内容：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环境民事责任，环境行政责任，环境刑事责任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考试要求：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1.掌握环境民事责任的形式和构成要件；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2.掌握环境行政责任的形式和构成要件；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3.掌握环境刑事责任的形式和构成要件；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4.掌握环境法律责任的追究机制。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（五）环境污染防治法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考试内容：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大气污染防治法，水污染防治法，海洋环境保护法，环境噪声污染防治法，有毒有害物质污染防治法，土壤污染防治法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考试要求：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理解各类环境介质污染防治法的基本制度。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Hans"/>
        </w:rPr>
        <w:t>（六）自然资源和能源法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考试内容：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自然资源法的基本制度，能源法的基本制度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考试要求：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掌握自然资源法的基本制度，如自然资源权属制度、自然资源规划制度等；理解能源法的基本制度，如可再生能源法律制度、节约能源法律制度等。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（七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生态保护法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考试内容：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生态保护法的基本制度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考试要求：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  <w:t>掌握生态保护法的基本制度，如自然保护区制度、国家公园制度、生态补偿制度等。</w:t>
      </w:r>
    </w:p>
    <w:p>
      <w:pPr>
        <w:pStyle w:val="3"/>
        <w:widowControl/>
        <w:spacing w:before="0" w:beforeAutospacing="0" w:after="0" w:afterAutospacing="0" w:line="462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Hans"/>
        </w:rPr>
      </w:pPr>
    </w:p>
    <w:sectPr>
      <w:pgSz w:w="11906" w:h="16838"/>
      <w:pgMar w:top="1440" w:right="1287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4691F"/>
    <w:rsid w:val="4BA13772"/>
    <w:rsid w:val="5FEDB448"/>
    <w:rsid w:val="7FFF916C"/>
    <w:rsid w:val="947F9F36"/>
    <w:rsid w:val="A0B27D81"/>
    <w:rsid w:val="D3F7866A"/>
    <w:rsid w:val="DFF4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2021-07-13T16:46:00Z</dcterms:created>
  <dc:creator>kate</dc:creator>
  <cp:lastModifiedBy>kate</cp:lastModifiedBy>
  <dcterms:modified xsi:type="dcterms:W3CDTF">2021-07-14T09:58:23Z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