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重庆三峡学院</w:t>
      </w:r>
      <w:r>
        <w:rPr>
          <w:rFonts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22年硕士研究生招生考试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自命题科目</w:t>
      </w:r>
      <w:r>
        <w:rPr>
          <w:rFonts w:hint="eastAsia" w:ascii="黑体" w:hAnsi="黑体" w:eastAsia="黑体" w:cs="黑体"/>
          <w:sz w:val="34"/>
          <w:szCs w:val="34"/>
        </w:rPr>
        <w:t>《农业知识综合三》考试大纲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5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1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命题方式</w:t>
            </w:r>
          </w:p>
        </w:tc>
        <w:tc>
          <w:tcPr>
            <w:tcW w:w="55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招生单位自主命题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1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试卷满分</w:t>
            </w:r>
          </w:p>
        </w:tc>
        <w:tc>
          <w:tcPr>
            <w:tcW w:w="55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1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考试时间</w:t>
            </w:r>
          </w:p>
        </w:tc>
        <w:tc>
          <w:tcPr>
            <w:tcW w:w="55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180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1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考试方式</w:t>
            </w:r>
          </w:p>
        </w:tc>
        <w:tc>
          <w:tcPr>
            <w:tcW w:w="55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闭卷、笔试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781" w:type="dxa"/>
            <w:gridSpan w:val="2"/>
          </w:tcPr>
          <w:p>
            <w:pPr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考试内容和要求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一、适用领域：农业工程与信息技术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食品加工与安全领域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二、考试科目：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食品加工与安全【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报考生物与食品工程学院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】</w:t>
            </w:r>
            <w:r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每门科目</w:t>
            </w:r>
            <w:r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50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分</w:t>
            </w:r>
            <w:r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)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食品卫生学、食品安全管理与法规、食品分析与检验技术</w:t>
            </w:r>
          </w:p>
          <w:p>
            <w:pPr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（三）食品加工与安全领域【报考生物与食品工程学院】适用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第一部分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</w:rPr>
              <w:t>食品卫生学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50分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参考书目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】</w:t>
            </w:r>
          </w:p>
          <w:p>
            <w:pPr>
              <w:adjustRightInd w:val="0"/>
              <w:snapToGrid w:val="0"/>
              <w:ind w:leftChars="100" w:firstLine="210" w:firstLineChars="1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柳春红，刘烈刚 主编《食品卫生学》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 xml:space="preserve"> [M].北京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：科学出版社，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201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8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主要内容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】</w:t>
            </w:r>
          </w:p>
          <w:p>
            <w:pPr>
              <w:autoSpaceDE w:val="0"/>
              <w:autoSpaceDN w:val="0"/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1. 掌握食品卫生的定义；食品卫生学研究的主要内容；国内外主要的食品卫生问题；熟悉食品中可能存在的有害因素的种类，有害因素的分类。</w:t>
            </w:r>
          </w:p>
          <w:p>
            <w:pPr>
              <w:autoSpaceDE w:val="0"/>
              <w:autoSpaceDN w:val="0"/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2. 食品的生物污染</w:t>
            </w:r>
          </w:p>
          <w:p>
            <w:pPr>
              <w:autoSpaceDE w:val="0"/>
              <w:autoSpaceDN w:val="0"/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食品细菌污染的来源、途径，常见腐败菌、致病菌对人体的危害、检验及控制措施；食品中常见病毒污染的来源、途径、对人体的危害及控制措施；食品中常见寄生虫污染的来源、途径、危害及控制措施；食品中常见霉菌污染的途径、霉菌毒素的产生的条件、影响因素、对人体的危害和控制措施。</w:t>
            </w:r>
          </w:p>
          <w:p>
            <w:pPr>
              <w:autoSpaceDE w:val="0"/>
              <w:autoSpaceDN w:val="0"/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3. 食品的化学污染</w:t>
            </w:r>
          </w:p>
          <w:p>
            <w:pPr>
              <w:autoSpaceDE w:val="0"/>
              <w:autoSpaceDN w:val="0"/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常见的动植物天然有害物质对人体的危害及预防控制原则；重金属、持久性有机污染物等环境污染物污染食品的途径、对人体危害和控制措施；农药、兽药等农用化学物质残留的原因、影响因素、过量摄入对人体的危害及控制措施；食品加工过程产生的有害成分、产生条件、影响因素、对人体的危害和控制措施；食品添加剂的类型、使用原则；食品包装材料对食品的污染、对人体的危害及控制措施。</w:t>
            </w:r>
          </w:p>
          <w:p>
            <w:pPr>
              <w:autoSpaceDE w:val="0"/>
              <w:autoSpaceDN w:val="0"/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4. 食品的物理污染</w:t>
            </w:r>
          </w:p>
          <w:p>
            <w:pPr>
              <w:autoSpaceDE w:val="0"/>
              <w:autoSpaceDN w:val="0"/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食品中主要的物理污染及控制措施；食品企业虫害的来源、入侵途径、对食品安全的影响及控制措施。</w:t>
            </w:r>
          </w:p>
          <w:p>
            <w:pPr>
              <w:autoSpaceDE w:val="0"/>
              <w:autoSpaceDN w:val="0"/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5. 食物中毒的预防控制</w:t>
            </w:r>
          </w:p>
          <w:p>
            <w:pPr>
              <w:autoSpaceDE w:val="0"/>
              <w:autoSpaceDN w:val="0"/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食物中毒的流行病学特点、类型、常见细菌性食物中毒的预防控制措施、常见真菌性食物中毒的控制措施、常见植物性食物中毒的毒性成分和控制措施、常见动物性食物中毒的毒性成分和控制措施。</w:t>
            </w:r>
          </w:p>
          <w:p>
            <w:pPr>
              <w:autoSpaceDE w:val="0"/>
              <w:autoSpaceDN w:val="0"/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6. 食源性疾病及其预防控制</w:t>
            </w:r>
          </w:p>
          <w:p>
            <w:pPr>
              <w:autoSpaceDE w:val="0"/>
              <w:autoSpaceDN w:val="0"/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细菌性传染病的传播途径和预防措施、病毒性传染病的传播途径和预防措施、寄生虫感染性疾病的传播途径和预防措施。</w:t>
            </w:r>
          </w:p>
          <w:p>
            <w:pPr>
              <w:autoSpaceDE w:val="0"/>
              <w:autoSpaceDN w:val="0"/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7. 掌握各类食品及加工过程中存在的主要卫生问题及预防控制措施。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基本题型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】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名词解释（2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0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%），简答题（4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0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%），论述题（4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0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%）</w:t>
            </w:r>
          </w:p>
          <w:p>
            <w:pPr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第二部分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</w:rPr>
              <w:t>食品安全管理与法规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50分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参考书目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】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1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. 吴澍，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"http://search.dangdang.com/?key2=%D5%D4%C0%F6%C7%DB&amp;medium=01&amp;category_path=01.00.00.00.00.00" \t "_blank"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赵丽芹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fldChar w:fldCharType="end"/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　等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主编《食品法律法规与标准》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 xml:space="preserve"> [M].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北京：化学工业出版社，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201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5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2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最新版《中华人民共和国食品安全法》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3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.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《中华人民共和国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农产品质量安全法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》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主要内容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】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1. 食用农产品的生产管理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食品安全的概念（中国食品安全法）、有机产品、绿色食品和无公害农产品的概念、标识，以及认证法规和标准体系、有机产品、绿色食品和无公害农产品的主要区别。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良好农业规范（GAP）中涉及食用农产品安全的要点和原则、安全用水、肥料的使用、农药的安全使用规范、作物和饲料生产中的安全问题、畜禽养殖（饲料、饮水、设施和环境要求；动物福利）、收获加工及贮存（农药停用期、兽药休药期）、工人健康和卫生、卫生设施（废弃物处理、卫生间）、田地卫生、包装设备卫生、运输、溯源。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2. 加工过程食品安全管理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良好生产规范（GMP）的概念和内容、卫生标准操作程序（SSOP）的概念和内容、危害分析与关键控制点（HACCP体系）的概念、原理与应用、HACCP、GMP和SSOP的关系、以及针对某一关键控制点（CCP），三者如何协同作用，控制食品安全危害、《GB/T22000:2006食品安全管理体系食品链中各类组织的要求》与HACCP的异同点。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3. 食品安全法律、法规与标准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我国食品法律、法规和标准体系及其基本框架、最新版《食品安全法》及其实施条例和配套法规、《农产品质量安全法》及配套法规、现行食品安全与质量标准体系和内容。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基本题型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】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名词解释（2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0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%），简答题（4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0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%），论述题（4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0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%）</w:t>
            </w:r>
          </w:p>
          <w:p>
            <w:pPr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第三部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</w:rPr>
              <w:t>食品分析与检验技术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50分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参考书目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】</w:t>
            </w:r>
          </w:p>
          <w:p>
            <w:pPr>
              <w:ind w:leftChars="200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钱建亚，主编《食品分析》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[M].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北京：中国纺织出版社，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201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4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主要内容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】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1. 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样品的采集与处理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掌握样品的采集、制备、保存的方法及注意事项；掌握样品预处理方法；掌握食品分析的误差与数据处理方法。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2. 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密度的测定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掌握密度瓶和密度计的使用原理；掌握液态食品相对密度的测定方法。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3. 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食品水分的测定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了解食品的水分含量及其存在形式；掌握常见几种（加热干燥法、蒸馏法、卡尔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-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费休法）水分测定方法的原理、测定过程及注意事项；掌握水分活度值的测定方法。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4. 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食品灰分的测定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掌握总灰分的测定原理、方法；掌握水溶性灰分和水不溶性灰分的测定方法；掌握酸不溶性灰分的测定方法；了解特殊的灰化方法。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 5. 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食品酸度的测定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掌握总酸度的测定、有效酸度的测定和挥发性酸度的测定原理、方法及测定过程中的注意事项。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6. 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脂肪及脂肪酸的测定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了解食品中脂肪存在的形式，掌握脂类测定（索氏提取法、碱性乙醚法、酸水解法、氯仿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-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甲醇提取法）的原理、方法及注意事项。掌握酸价、碘价、过氧化值、皂化价以及羰基价的测定。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7. 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糖类的测定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掌握糖类提取和澄清方法；掌握总糖、还原糖（直接滴定法、高锰酸钾滴定法）、蔗糖的测定方法；掌握淀粉的测定方法；掌握粗纤维的测定方法和果胶物质的测定方法。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8. 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蛋白质的测定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了解食品中蛋白质的含量及测定的意义；掌握凯氏定氮法（常量、微量凯氏定氮法）的测定原理、测定过程及注意事项。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9. 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维生素的测定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掌握维生素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A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的测定方法（三氯化锑比色法、紫外分光光度法）；掌握维生素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D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的测定方法；掌握维生素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E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的测定方法；掌握维生素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C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的测定方法（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2,6-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二氯靛酚滴定法、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2,4-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二硝基苯肼比色法）。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10. 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食品中元素含量的测定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掌握食品中常量元素（钙、钾、钠、磷、氯、镁）的测定方法；掌握食品中必须微量元素（铁、硒、氟、碘、锌、铜）的测定方法；掌握食品中部分有害元素（铅、砷、汞、锡、镉、铬）的测定方法。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djustRightInd w:val="0"/>
              <w:snapToGrid w:val="0"/>
              <w:ind w:left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11. 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食品添加剂的测定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 </w:t>
            </w:r>
          </w:p>
          <w:p>
            <w:pPr>
              <w:autoSpaceDE w:val="0"/>
              <w:autoSpaceDN w:val="0"/>
              <w:adjustRightInd w:val="0"/>
              <w:snapToGrid w:val="0"/>
              <w:ind w:leftChars="200" w:firstLine="420" w:firstLineChars="2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掌握食品甜味剂糖精钠的测定方法；掌握防腐剂（山梨酸、苯甲酸）的测定方法；掌握护色剂（亚硝酸盐、硝酸盐）的测定方法；掌握漂白剂（亚硫酸盐）的测定。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</w:rPr>
              <w:t>基本题型</w:t>
            </w:r>
            <w:r>
              <w:rPr>
                <w:rFonts w:hint="eastAsia" w:ascii="AdobeSongStd-Light" w:eastAsia="AdobeSongStd-Light" w:cs="AdobeSongStd-Light" w:hAnsiTheme="minorHAnsi"/>
                <w:b/>
                <w:bCs/>
                <w:kern w:val="0"/>
                <w:sz w:val="21"/>
                <w:szCs w:val="21"/>
                <w:lang w:eastAsia="zh-CN"/>
              </w:rPr>
              <w:t>】</w:t>
            </w:r>
          </w:p>
          <w:p>
            <w:pPr>
              <w:adjustRightInd w:val="0"/>
              <w:snapToGrid w:val="0"/>
              <w:ind w:left="0" w:leftChars="100" w:firstLine="210" w:firstLineChars="100"/>
              <w:jc w:val="left"/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</w:pP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名词解释（2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0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%），简答题（4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0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%），论述题（4</w:t>
            </w:r>
            <w:r>
              <w:rPr>
                <w:rFonts w:ascii="AdobeSongStd-Light" w:eastAsia="AdobeSongStd-Light" w:cs="AdobeSongStd-Light" w:hAnsiTheme="minorHAnsi"/>
                <w:kern w:val="0"/>
                <w:sz w:val="21"/>
                <w:szCs w:val="21"/>
              </w:rPr>
              <w:t>0</w:t>
            </w:r>
            <w:r>
              <w:rPr>
                <w:rFonts w:hint="eastAsia" w:ascii="AdobeSongStd-Light" w:eastAsia="AdobeSongStd-Light" w:cs="AdobeSongStd-Light" w:hAnsiTheme="minorHAnsi"/>
                <w:kern w:val="0"/>
                <w:sz w:val="21"/>
                <w:szCs w:val="21"/>
              </w:rPr>
              <w:t>%）</w:t>
            </w:r>
          </w:p>
          <w:p>
            <w:pPr>
              <w:adjustRightInd w:val="0"/>
              <w:snapToGrid w:val="0"/>
              <w:jc w:val="left"/>
              <w:rPr>
                <w:rFonts w:ascii="AdobeSongStd-Light" w:eastAsia="AdobeSongStd-Light" w:cs="AdobeSongStd-Light" w:hAnsiTheme="minorHAnsi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781" w:type="dxa"/>
            <w:gridSpan w:val="2"/>
          </w:tcPr>
          <w:p>
            <w:pPr>
              <w:spacing w:before="156" w:beforeLines="50" w:after="156" w:afterLines="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SongStd-Ligh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56"/>
    <w:rsid w:val="001B58B2"/>
    <w:rsid w:val="002705DA"/>
    <w:rsid w:val="00281506"/>
    <w:rsid w:val="002E7A6B"/>
    <w:rsid w:val="00386D50"/>
    <w:rsid w:val="00511856"/>
    <w:rsid w:val="006411EE"/>
    <w:rsid w:val="0068429F"/>
    <w:rsid w:val="007D41FE"/>
    <w:rsid w:val="00B2053C"/>
    <w:rsid w:val="00B75909"/>
    <w:rsid w:val="00BC213E"/>
    <w:rsid w:val="00F216CE"/>
    <w:rsid w:val="0B3F7C62"/>
    <w:rsid w:val="0BD51D4A"/>
    <w:rsid w:val="20D5084E"/>
    <w:rsid w:val="4CB85BA4"/>
    <w:rsid w:val="55447793"/>
    <w:rsid w:val="57C74ED6"/>
    <w:rsid w:val="58C27CB9"/>
    <w:rsid w:val="6508378B"/>
    <w:rsid w:val="7B7921FF"/>
    <w:rsid w:val="7EC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409</Words>
  <Characters>2336</Characters>
  <Lines>19</Lines>
  <Paragraphs>5</Paragraphs>
  <TotalTime>1</TotalTime>
  <ScaleCrop>false</ScaleCrop>
  <LinksUpToDate>false</LinksUpToDate>
  <CharactersWithSpaces>2740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2020-07-11T01:51:00Z</dcterms:created>
  <dc:creator> </dc:creator>
  <cp:lastModifiedBy>Administrator</cp:lastModifiedBy>
  <dcterms:modified xsi:type="dcterms:W3CDTF">2021-07-09T07:42:26Z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04950120ACDD41AABEE991FA25DC4C09</vt:lpwstr>
  </property>
</Properties>
</file>