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60"/>
        <w:jc w:val="center"/>
        <w:rPr>
          <w:rFonts w:hint="eastAsia" w:ascii="Times New Roman" w:hAnsi="Times New Roman" w:eastAsia="方正小标宋简体" w:cs="Times New Roman"/>
          <w:b/>
          <w:bCs w:val="0"/>
          <w:color w:val="000000" w:themeColor="text1"/>
          <w:sz w:val="44"/>
          <w:szCs w:val="44"/>
          <w14:textFill>
            <w14:solidFill>
              <w14:schemeClr w14:val="tx1"/>
            </w14:solidFill>
          </w14:textFill>
        </w:rPr>
      </w:pPr>
      <w:r>
        <w:rPr>
          <w:rFonts w:hint="eastAsia" w:ascii="Times New Roman" w:hAnsi="Times New Roman" w:eastAsia="方正小标宋简体" w:cs="Times New Roman"/>
          <w:b/>
          <w:bCs w:val="0"/>
          <w:color w:val="000000" w:themeColor="text1"/>
          <w:sz w:val="44"/>
          <w:szCs w:val="44"/>
          <w:lang w:val="en-US" w:eastAsia="zh-CN"/>
          <w14:textFill>
            <w14:solidFill>
              <w14:schemeClr w14:val="tx1"/>
            </w14:solidFill>
          </w14:textFill>
        </w:rPr>
        <w:t>831</w:t>
      </w:r>
      <w:bookmarkStart w:id="0" w:name="_GoBack"/>
      <w:bookmarkEnd w:id="0"/>
      <w:r>
        <w:rPr>
          <w:rFonts w:hint="eastAsia" w:ascii="Times New Roman" w:hAnsi="Times New Roman" w:eastAsia="方正小标宋简体" w:cs="Times New Roman"/>
          <w:b/>
          <w:bCs w:val="0"/>
          <w:color w:val="000000" w:themeColor="text1"/>
          <w:sz w:val="44"/>
          <w:szCs w:val="44"/>
          <w14:textFill>
            <w14:solidFill>
              <w14:schemeClr w14:val="tx1"/>
            </w14:solidFill>
          </w14:textFill>
        </w:rPr>
        <w:t>—经济学基础考试大纲</w:t>
      </w:r>
    </w:p>
    <w:p>
      <w:pPr>
        <w:spacing w:line="360" w:lineRule="auto"/>
        <w:jc w:val="center"/>
        <w:rPr>
          <w:rFonts w:ascii="仿宋" w:hAnsi="仿宋" w:eastAsia="仿宋"/>
          <w:b/>
          <w:color w:val="000000" w:themeColor="text1"/>
          <w:szCs w:val="21"/>
          <w14:textFill>
            <w14:solidFill>
              <w14:schemeClr w14:val="tx1"/>
            </w14:solidFill>
          </w14:textFill>
        </w:rPr>
      </w:pPr>
      <w:r>
        <w:rPr>
          <w:rFonts w:hint="eastAsia" w:ascii="Times New Roman" w:hAnsi="Times New Roman" w:eastAsia="方正仿宋_GB2312"/>
          <w:color w:val="FF0000"/>
          <w:szCs w:val="21"/>
        </w:rPr>
        <w:t>（研究生招生考试属于择优选拔性考试，考试大纲及书目仅供参考，考试内容及题型可包括但不仅限于以上范围，主要考察考生分析和解决问题的能力。）</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b w:val="0"/>
          <w:bCs w:val="0"/>
          <w:sz w:val="30"/>
          <w:szCs w:val="30"/>
        </w:rPr>
      </w:pPr>
      <w:r>
        <w:rPr>
          <w:rFonts w:hint="eastAsia" w:ascii="方正小标宋简体" w:hAnsi="方正小标宋简体" w:eastAsia="方正小标宋简体" w:cs="方正小标宋简体"/>
          <w:b w:val="0"/>
          <w:bCs w:val="0"/>
          <w:sz w:val="30"/>
          <w:szCs w:val="30"/>
        </w:rPr>
        <w:t>一、考试目标</w:t>
      </w:r>
    </w:p>
    <w:p>
      <w:pPr>
        <w:ind w:left="105" w:firstLine="523" w:firstLineChars="218"/>
        <w:rPr>
          <w:rFonts w:ascii="Times New Roman" w:hAnsi="Times New Roman" w:eastAsia="方正仿宋_GB2312"/>
          <w:bCs/>
          <w:color w:val="000000" w:themeColor="text1"/>
          <w:sz w:val="24"/>
          <w:szCs w:val="28"/>
          <w14:textFill>
            <w14:solidFill>
              <w14:schemeClr w14:val="tx1"/>
            </w14:solidFill>
          </w14:textFill>
        </w:rPr>
      </w:pPr>
      <w:r>
        <w:rPr>
          <w:rFonts w:hint="eastAsia" w:ascii="Times New Roman" w:hAnsi="Times New Roman" w:eastAsia="方正仿宋_GB2312"/>
          <w:bCs/>
          <w:color w:val="000000" w:themeColor="text1"/>
          <w:sz w:val="24"/>
          <w:szCs w:val="28"/>
          <w14:textFill>
            <w14:solidFill>
              <w14:schemeClr w14:val="tx1"/>
            </w14:solidFill>
          </w14:textFill>
        </w:rPr>
        <w:t>“经济学基础”是公共管理类硕士研究生入学考试科目之一。它要求学生全面系统地掌握属于经济学基础的基本概念和基本理论，熟悉经济运行的一般原理以及政府对国民经济进行宏观调控的依据和方法，并能够对现实中政府的各项经济政策进行分析和判断。经济学的基础理论、分析框架和研究方法对于管理类学生和实际的管理工作者而言，是分析客观经济事件、开阔管理思路的重要工具。本科目要求考生系统掌握经济学学科的基本知识、基础理论和基本方法，能运用相关理论和方法理解、分析现实问题，并给出若干解决思路。</w:t>
      </w:r>
    </w:p>
    <w:p>
      <w:pPr>
        <w:pStyle w:val="11"/>
        <w:ind w:firstLine="0" w:firstLineChars="0"/>
        <w:jc w:val="center"/>
        <w:rPr>
          <w:rFonts w:hint="eastAsia" w:ascii="方正小标宋简体" w:hAnsi="方正小标宋简体" w:eastAsia="方正小标宋简体" w:cs="方正小标宋简体"/>
          <w:b w:val="0"/>
          <w:bCs w:val="0"/>
          <w:kern w:val="2"/>
          <w:sz w:val="30"/>
          <w:szCs w:val="30"/>
          <w:lang w:val="en-US" w:eastAsia="zh-CN" w:bidi="ar-SA"/>
        </w:rPr>
      </w:pPr>
      <w:r>
        <w:rPr>
          <w:rFonts w:hint="eastAsia" w:ascii="方正小标宋简体" w:hAnsi="方正小标宋简体" w:eastAsia="方正小标宋简体" w:cs="方正小标宋简体"/>
          <w:b w:val="0"/>
          <w:bCs w:val="0"/>
          <w:kern w:val="2"/>
          <w:sz w:val="30"/>
          <w:szCs w:val="30"/>
          <w:lang w:val="en-US" w:eastAsia="zh-CN" w:bidi="ar-SA"/>
        </w:rPr>
        <w:t>二、考试形式与试卷结构</w:t>
      </w:r>
    </w:p>
    <w:p>
      <w:pPr>
        <w:pStyle w:val="11"/>
        <w:ind w:firstLine="560"/>
        <w:rPr>
          <w:rFonts w:hint="eastAsia" w:ascii="Times New Roman" w:hAnsi="Times New Roman" w:eastAsia="方正仿宋_GB2312"/>
          <w:color w:val="000000" w:themeColor="text1"/>
          <w:sz w:val="28"/>
          <w:szCs w:val="28"/>
          <w14:textFill>
            <w14:solidFill>
              <w14:schemeClr w14:val="tx1"/>
            </w14:solidFill>
          </w14:textFill>
        </w:rPr>
      </w:pPr>
      <w:r>
        <w:rPr>
          <w:rFonts w:hint="eastAsia" w:ascii="Times New Roman" w:hAnsi="Times New Roman" w:eastAsia="方正仿宋_GB2312"/>
          <w:color w:val="000000" w:themeColor="text1"/>
          <w:sz w:val="28"/>
          <w:szCs w:val="28"/>
          <w14:textFill>
            <w14:solidFill>
              <w14:schemeClr w14:val="tx1"/>
            </w14:solidFill>
          </w14:textFill>
        </w:rPr>
        <w:t>（一）试卷分值及考试时间</w:t>
      </w:r>
    </w:p>
    <w:p>
      <w:pPr>
        <w:pStyle w:val="11"/>
        <w:ind w:firstLine="560"/>
        <w:rPr>
          <w:rFonts w:hint="eastAsia" w:ascii="Times New Roman" w:hAnsi="Times New Roman" w:eastAsia="方正仿宋_GB2312"/>
          <w:color w:val="000000" w:themeColor="text1"/>
          <w:sz w:val="28"/>
          <w:szCs w:val="28"/>
          <w14:textFill>
            <w14:solidFill>
              <w14:schemeClr w14:val="tx1"/>
            </w14:solidFill>
          </w14:textFill>
        </w:rPr>
      </w:pPr>
      <w:r>
        <w:rPr>
          <w:rFonts w:hint="eastAsia" w:ascii="Times New Roman" w:hAnsi="Times New Roman" w:eastAsia="方正仿宋_GB2312"/>
          <w:color w:val="000000" w:themeColor="text1"/>
          <w:sz w:val="28"/>
          <w:szCs w:val="28"/>
          <w14:textFill>
            <w14:solidFill>
              <w14:schemeClr w14:val="tx1"/>
            </w14:solidFill>
          </w14:textFill>
        </w:rPr>
        <w:t>本试卷满分为150分，考试时间为180分钟。</w:t>
      </w:r>
    </w:p>
    <w:p>
      <w:pPr>
        <w:pStyle w:val="11"/>
        <w:ind w:firstLine="560"/>
        <w:rPr>
          <w:rFonts w:hint="eastAsia" w:ascii="Times New Roman" w:hAnsi="Times New Roman" w:eastAsia="方正仿宋_GB2312"/>
          <w:color w:val="000000" w:themeColor="text1"/>
          <w:sz w:val="28"/>
          <w:szCs w:val="28"/>
          <w14:textFill>
            <w14:solidFill>
              <w14:schemeClr w14:val="tx1"/>
            </w14:solidFill>
          </w14:textFill>
        </w:rPr>
      </w:pPr>
      <w:r>
        <w:rPr>
          <w:rFonts w:hint="eastAsia" w:ascii="Times New Roman" w:hAnsi="Times New Roman" w:eastAsia="方正仿宋_GB2312"/>
          <w:color w:val="000000" w:themeColor="text1"/>
          <w:sz w:val="28"/>
          <w:szCs w:val="28"/>
          <w14:textFill>
            <w14:solidFill>
              <w14:schemeClr w14:val="tx1"/>
            </w14:solidFill>
          </w14:textFill>
        </w:rPr>
        <w:t>（二）答题方式</w:t>
      </w:r>
    </w:p>
    <w:p>
      <w:pPr>
        <w:pStyle w:val="11"/>
        <w:ind w:firstLine="560"/>
        <w:rPr>
          <w:rFonts w:hint="eastAsia" w:ascii="Times New Roman" w:hAnsi="Times New Roman" w:eastAsia="方正仿宋_GB2312"/>
          <w:color w:val="000000" w:themeColor="text1"/>
          <w:sz w:val="28"/>
          <w:szCs w:val="28"/>
          <w14:textFill>
            <w14:solidFill>
              <w14:schemeClr w14:val="tx1"/>
            </w14:solidFill>
          </w14:textFill>
        </w:rPr>
      </w:pPr>
      <w:r>
        <w:rPr>
          <w:rFonts w:hint="eastAsia" w:ascii="Times New Roman" w:hAnsi="Times New Roman" w:eastAsia="方正仿宋_GB2312"/>
          <w:color w:val="000000" w:themeColor="text1"/>
          <w:sz w:val="28"/>
          <w:szCs w:val="28"/>
          <w14:textFill>
            <w14:solidFill>
              <w14:schemeClr w14:val="tx1"/>
            </w14:solidFill>
          </w14:textFill>
        </w:rPr>
        <w:t>答题方式为闭卷、笔试。</w:t>
      </w:r>
    </w:p>
    <w:p>
      <w:pPr>
        <w:pStyle w:val="11"/>
        <w:ind w:firstLine="560"/>
        <w:rPr>
          <w:rFonts w:hint="eastAsia" w:ascii="Times New Roman" w:hAnsi="Times New Roman" w:eastAsia="方正仿宋_GB2312"/>
          <w:color w:val="000000" w:themeColor="text1"/>
          <w:sz w:val="28"/>
          <w:szCs w:val="28"/>
          <w14:textFill>
            <w14:solidFill>
              <w14:schemeClr w14:val="tx1"/>
            </w14:solidFill>
          </w14:textFill>
        </w:rPr>
      </w:pPr>
      <w:r>
        <w:rPr>
          <w:rFonts w:hint="eastAsia" w:ascii="Times New Roman" w:hAnsi="Times New Roman" w:eastAsia="方正仿宋_GB2312"/>
          <w:color w:val="000000" w:themeColor="text1"/>
          <w:sz w:val="28"/>
          <w:szCs w:val="28"/>
          <w14:textFill>
            <w14:solidFill>
              <w14:schemeClr w14:val="tx1"/>
            </w14:solidFill>
          </w14:textFill>
        </w:rPr>
        <w:t>（三）试卷题型结构</w:t>
      </w:r>
    </w:p>
    <w:p>
      <w:pPr>
        <w:pStyle w:val="11"/>
        <w:ind w:firstLine="560"/>
        <w:rPr>
          <w:rFonts w:hint="eastAsia" w:ascii="Times New Roman" w:hAnsi="Times New Roman" w:eastAsia="方正仿宋_GB2312"/>
          <w:color w:val="000000" w:themeColor="text1"/>
          <w:sz w:val="28"/>
          <w:szCs w:val="28"/>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Times New Roman" w:hAnsi="Times New Roman" w:eastAsia="方正仿宋_GB2312"/>
          <w:color w:val="000000" w:themeColor="text1"/>
          <w:sz w:val="28"/>
          <w:szCs w:val="28"/>
          <w14:textFill>
            <w14:solidFill>
              <w14:schemeClr w14:val="tx1"/>
            </w14:solidFill>
          </w14:textFill>
        </w:rPr>
        <w:t>试卷可能包括的题型有：名词解释、简答题、论述题、案例分析题、计算分析题、材料分析题。</w:t>
      </w:r>
    </w:p>
    <w:p>
      <w:pPr>
        <w:jc w:val="center"/>
        <w:rPr>
          <w:rFonts w:hint="eastAsia" w:ascii="方正小标宋简体" w:hAnsi="方正小标宋简体" w:eastAsia="方正小标宋简体" w:cs="方正小标宋简体"/>
          <w:b w:val="0"/>
          <w:bCs w:val="0"/>
          <w:kern w:val="2"/>
          <w:sz w:val="30"/>
          <w:szCs w:val="30"/>
          <w:lang w:val="en-US" w:eastAsia="zh-CN" w:bidi="ar-SA"/>
        </w:rPr>
      </w:pPr>
      <w:r>
        <w:rPr>
          <w:rFonts w:hint="eastAsia" w:ascii="方正小标宋简体" w:hAnsi="方正小标宋简体" w:eastAsia="方正小标宋简体" w:cs="方正小标宋简体"/>
          <w:b w:val="0"/>
          <w:bCs w:val="0"/>
          <w:kern w:val="2"/>
          <w:sz w:val="30"/>
          <w:szCs w:val="30"/>
          <w:lang w:val="en-US" w:eastAsia="zh-CN" w:bidi="ar-SA"/>
        </w:rPr>
        <w:t>三、考试内容</w:t>
      </w:r>
    </w:p>
    <w:p>
      <w:pPr>
        <w:jc w:val="left"/>
        <w:rPr>
          <w:rFonts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一、需求、供给与价格均衡</w:t>
      </w:r>
    </w:p>
    <w:p>
      <w:pPr>
        <w:jc w:val="left"/>
        <w:rPr>
          <w:rFonts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（一）需求</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1.需求、需求量</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2.需求曲线</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（二）供给</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1.供给、供给量</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2.供给曲线</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（三）市场均衡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1.均衡产量</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2.均衡价格</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3.蛛网模型</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（四）弹性</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1.需求弹性</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2.供给弹性</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二、消费者选择</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（一）效用理论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1.基数效用论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2.序数效用论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3.边际效用递减规律</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（二）消费者均衡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1.无差异曲线</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2.预算约束线</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3.消费者均衡条件</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（三）替代效应和收入效应</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1.价格变动的替代效应</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2.价格变动的收入效应</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三、企业的生产和成本</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（一）企业与生产函数</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1.企业的类型与企业的目标</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2.生产和生产函数</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（二）短期生产函数</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1.总产量、平均产量和边际产量</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2.边际报酬递减规律</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3.生产的三个阶段</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（三）长期生产函数</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1.等产量线</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2.等成本线</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3.生产者均衡</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（四）短期成本函数</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1.短期成本曲线</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2.短期成本曲线之间的关系</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四、完全竞争市场</w:t>
      </w:r>
    </w:p>
    <w:p>
      <w:pPr>
        <w:jc w:val="left"/>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（一）市场结构和企业收益</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1.市场结构及其划分依据</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2.企业利润最大化</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（二）完全竞争企业</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1.完全竞争企业面临的需求曲线</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2.完全竞争企业的收益曲线</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（三）完全竞争企业的短期均衡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1.利润最大化产量的决定</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2.利润最大化和盈亏</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3.企业的短期均衡</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五、不完全竞争市场</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（一）垄断</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1.垄断的含义及原因</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2.垄断企业的短期和长期均衡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3.垄断和价格歧视</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（二）垄断竞争</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1.垄断竞争的特点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2.垄断竞争企业的短期均衡</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六、要素市场和收入分配</w:t>
      </w:r>
    </w:p>
    <w:p>
      <w:pPr>
        <w:jc w:val="left"/>
        <w:rPr>
          <w:rFonts w:hint="eastAsia"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（一）劳动和工资</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1.劳动供给和闲暇</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2.劳动供给曲线</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3.替代效应和收入效应</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4.劳动市场均衡和工资决定</w:t>
      </w:r>
    </w:p>
    <w:p>
      <w:pPr>
        <w:jc w:val="left"/>
        <w:rPr>
          <w:rFonts w:ascii="Times New Roman" w:hAnsi="Times New Roman" w:eastAsia="方正仿宋_GB2312" w:cs="Times New Roman"/>
          <w:b/>
          <w:bCs/>
          <w:color w:val="000000" w:themeColor="text1"/>
          <w:sz w:val="28"/>
          <w:szCs w:val="28"/>
          <w14:textFill>
            <w14:solidFill>
              <w14:schemeClr w14:val="tx1"/>
            </w14:solidFill>
          </w14:textFill>
        </w:rPr>
      </w:pPr>
      <w:r>
        <w:rPr>
          <w:rFonts w:hint="eastAsia" w:ascii="Times New Roman" w:hAnsi="Times New Roman" w:eastAsia="方正仿宋_GB2312" w:cs="Times New Roman"/>
          <w:b/>
          <w:bCs/>
          <w:color w:val="000000" w:themeColor="text1"/>
          <w:sz w:val="28"/>
          <w:szCs w:val="28"/>
          <w14:textFill>
            <w14:solidFill>
              <w14:schemeClr w14:val="tx1"/>
            </w14:solidFill>
          </w14:textFill>
        </w:rPr>
        <w:t>（二）土地和地租</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1.土地供给曲线</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2.土地价格和地租</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（三）资本和利息</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1.资本和利息的概念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2.资本的供给和资本市场均衡</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七、市场失灵和微观经济政策</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（一）垄断</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1.垄断与低效率</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2.对垄断的规制</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（二）外部性</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1.外部性的含义</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2.外部性与市场失灵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3.应对外部性的微观经济政策</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（三）公共物品</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1.公共物品的特征</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2.公共物品与市场失灵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3.公共物品的供给政策</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八、宏观经济指标及其衡量</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（一）国内生产总值（GDP）</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1.国内生产总值的概念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2.国内生产总值的衡量</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3.名义国内生产总值与实际国内生产总值</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4.国民生产总值、可支配收入等其他重要指标</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（二）价格水平</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1.衡量价格水平的主要指标</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2.通货膨胀与通货紧缩</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3.滞涨</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（三）就业状况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1.失业的类型</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2.充分就业与自然失业率</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color w:val="000000" w:themeColor="text1"/>
          <w:sz w:val="28"/>
          <w:szCs w:val="28"/>
          <w14:textFill>
            <w14:solidFill>
              <w14:schemeClr w14:val="tx1"/>
            </w14:solidFill>
          </w14:textFill>
        </w:rPr>
        <w:t>3.失业的衡量</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九、国民收入的决定：收入－支出模型</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（一）均衡国民收入的决定</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1.均衡国民收入的决定原理和基本方向</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2.两部门经济下的有效需求</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（二）两部门经济：家庭部门</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1.消费函数</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2.储蓄函数</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3.消费函数和储蓄函数的关系</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4.家庭消费函数和社会消费函数</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（三）两部门经济：企业部门</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1.资本边际效率</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2.影响预期收益的因素</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3.投资和利率</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（四）三部门经济：政府部门</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1.政府需求</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2.政府对社会总需求的影响</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十、国民收入的决定：IS-LM模型</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（一）产品市场均衡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1.IS曲线概念和内涵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2.IS曲线的斜率及其变动</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（二）货币市场均衡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1.货币的需求和供给</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2.LM曲线的概念和内涵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3.LM曲线的斜率及其变动</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（三）产品市场和货币市场的共同均衡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1.产品市场和货币市场的共同均衡：IS-LM模型</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color w:val="000000" w:themeColor="text1"/>
          <w:sz w:val="28"/>
          <w:szCs w:val="28"/>
          <w14:textFill>
            <w14:solidFill>
              <w14:schemeClr w14:val="tx1"/>
            </w14:solidFill>
          </w14:textFill>
        </w:rPr>
        <w:t>2.产品市场和货币市场共同均衡的调整和变动</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十一、国民收入的决定：AD-AS模型</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（一）AD曲线及其变动</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1.AD曲线的含义和相关效应</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2.AD曲线的变动和影响因素</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（二）AS曲线及其变动</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1.AS曲线的含义</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2.AS曲线的变动和影响因素</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3.AS曲线不同特征的经济含义</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（三）AD-AS模型</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1.AD-AS模型的含义</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2.AD-AS模型的基本类型</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十二、失业、通货膨胀和经济周期</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（一）失业</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1.失业的宏观经济学解释</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2.失业的影响和奥肯定律</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（二）通货膨胀</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1.通货膨胀的类型和原因</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2.通货膨胀的影响</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（三）经济周期</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1.经济周期的定义、阶段和类型</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2.经济周期理论</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十三、宏观经济政策</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（一）宏观经济政策目标</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1.宏观经济政策目标体系</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2.宏观经济政策目标的抉择</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（二）财政政策</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1.财政政策工具</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2.自动稳定器和相机抉择的财政政策</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3.财政政策效应</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（三）货币政策</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1.货币政策工具</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2.货币乘数和货币供给</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3.货币政策效应</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（四）财政政策和货币政策的协调</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1.财政政策的局限性</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2.货币政策的局限性</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3.财政政策和货币政策的协调</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十四、公共选择理论</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（一）简单多数规则</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1.政治均衡的概念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2.投票与决策</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3.中间投票者和中间投票者定理</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（二）投票交易</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1.互投赞成票与投票交易</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2.隐含的投票交易</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（三）政治行为的分析</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1.投票者参与投票的动因</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2.政治家（政党）与选票极大化</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3.官僚主义与公共物品的供给</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sz w:val="28"/>
          <w:szCs w:val="28"/>
        </w:rPr>
      </w:pPr>
      <w:r>
        <w:rPr>
          <w:rFonts w:hint="eastAsia" w:ascii="Times New Roman" w:hAnsi="Times New Roman" w:eastAsia="方正仿宋_GB2312" w:cs="Times New Roman"/>
          <w:color w:val="000000" w:themeColor="text1"/>
          <w:sz w:val="28"/>
          <w:szCs w:val="28"/>
          <w14:textFill>
            <w14:solidFill>
              <w14:schemeClr w14:val="tx1"/>
            </w14:solidFill>
          </w14:textFill>
        </w:rPr>
        <w:t>4.特殊利益集团与政治均衡</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十五、公共支出</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（一）公共支出规模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1.政府活动扩张论（瓦格纳法则）</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2.梯度渐进增长论（公共支出增长的内外因素论）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3.官员行为增长论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4.多数票规则增长论（利益集团与财政错觉）</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5.公共支出增长趋势的基本决定因素</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（二）公共支出规模的现实分析</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（三）公共支出结构</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1.公共支出分类与构成</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2.公共支出结构的决定因素</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（四）公共支出项目</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1.行政管理支出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2.国防支出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3.公共投资支出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4.社会保障支出</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（五）公共支出效率</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（六）政府采购制度</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1.政府采购制度的意义</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2.政府采购制度的基本内容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sz w:val="28"/>
          <w:szCs w:val="28"/>
        </w:rPr>
      </w:pPr>
      <w:r>
        <w:rPr>
          <w:rFonts w:hint="eastAsia" w:ascii="Times New Roman" w:hAnsi="Times New Roman" w:eastAsia="方正仿宋_GB2312" w:cs="Times New Roman"/>
          <w:color w:val="000000" w:themeColor="text1"/>
          <w:sz w:val="28"/>
          <w:szCs w:val="28"/>
          <w14:textFill>
            <w14:solidFill>
              <w14:schemeClr w14:val="tx1"/>
            </w14:solidFill>
          </w14:textFill>
        </w:rPr>
        <w:t>3.政府采购合同的类型</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十六、公共收入</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（一）公共收入体系</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1.税收</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2.收费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3.货币创造</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4.公债</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（二）公共收入规模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1.公共收入规模的演变</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2.公共收入规模的国际比较</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3.公共收入规模的决定因素</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（三）公共收入结构</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1.无偿收入与有偿收入比</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2.预算内收入与预算外收入比</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sz w:val="28"/>
          <w:szCs w:val="28"/>
        </w:rPr>
      </w:pPr>
      <w:r>
        <w:rPr>
          <w:rFonts w:hint="eastAsia" w:ascii="Times New Roman" w:hAnsi="Times New Roman" w:eastAsia="方正仿宋_GB2312" w:cs="Times New Roman"/>
          <w:color w:val="000000" w:themeColor="text1"/>
          <w:sz w:val="28"/>
          <w:szCs w:val="28"/>
          <w14:textFill>
            <w14:solidFill>
              <w14:schemeClr w14:val="tx1"/>
            </w14:solidFill>
          </w14:textFill>
        </w:rPr>
        <w:t>3.税收收入与非税收收入比</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十七、税收</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（一）税收原理</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1.税收要素与分类</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2.税收原则</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3.税收转嫁</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（二）税收的经济影响</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1.税收的收入效应和替代效应</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2.税收对个人储蓄的影响</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3.税收对劳动供给的影响</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4.税收对企业投资的影响</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5.税收对收入分配的影响</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6.税收对环境保护的影响</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（三）税收制度</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1.税收制度的基本范畴</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2.税种设置理论与实践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3.主要税种介绍</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4.税制结构的决定因素</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（四）税制改革</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1.税制改革的原因</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sz w:val="28"/>
          <w:szCs w:val="28"/>
        </w:rPr>
      </w:pPr>
      <w:r>
        <w:rPr>
          <w:rFonts w:hint="eastAsia" w:ascii="Times New Roman" w:hAnsi="Times New Roman" w:eastAsia="方正仿宋_GB2312" w:cs="Times New Roman"/>
          <w:color w:val="000000" w:themeColor="text1"/>
          <w:sz w:val="28"/>
          <w:szCs w:val="28"/>
          <w14:textFill>
            <w14:solidFill>
              <w14:schemeClr w14:val="tx1"/>
            </w14:solidFill>
          </w14:textFill>
        </w:rPr>
        <w:t>2.税制改革的理论基础</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十八、财政赤字与公债</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（一）财政赤字的基本问题</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1.如何理解财政平衡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2.财政赤字</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3.财政赤字的规模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4.财政赤字的经济影响</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（二）公债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1.公债规模</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Times New Roman" w:hAnsi="Times New Roman" w:eastAsia="方正仿宋_GB2312" w:cs="Times New Roman"/>
          <w:sz w:val="28"/>
          <w:szCs w:val="28"/>
        </w:rPr>
      </w:pPr>
      <w:r>
        <w:rPr>
          <w:rFonts w:hint="eastAsia" w:ascii="Times New Roman" w:hAnsi="Times New Roman" w:eastAsia="方正仿宋_GB2312" w:cs="Times New Roman"/>
          <w:color w:val="000000" w:themeColor="text1"/>
          <w:sz w:val="28"/>
          <w:szCs w:val="28"/>
          <w14:textFill>
            <w14:solidFill>
              <w14:schemeClr w14:val="tx1"/>
            </w14:solidFill>
          </w14:textFill>
        </w:rPr>
        <w:t>2.公债的经济效应</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十九、政府间财政关系</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（一）财政关系的基本问题</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1.基本概念</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2.财政分权</w:t>
      </w:r>
    </w:p>
    <w:p>
      <w:pPr>
        <w:spacing w:line="360" w:lineRule="auto"/>
        <w:rPr>
          <w:rFonts w:hint="eastAsia"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（二）支出责任安排</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1.支出责任安排的原则</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2.支出责任安排的现状</w:t>
      </w:r>
    </w:p>
    <w:p>
      <w:pPr>
        <w:spacing w:line="360" w:lineRule="auto"/>
        <w:rPr>
          <w:rFonts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（三）收入责任安排</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1.收入责任安排的原则</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2.分税制</w:t>
      </w:r>
    </w:p>
    <w:p>
      <w:pPr>
        <w:spacing w:line="360" w:lineRule="auto"/>
        <w:rPr>
          <w:rFonts w:ascii="Times New Roman" w:hAnsi="Times New Roman" w:eastAsia="方正仿宋_GB2312" w:cs="Times New Roman"/>
          <w:b/>
          <w:bCs/>
          <w:sz w:val="28"/>
          <w:szCs w:val="28"/>
        </w:rPr>
      </w:pPr>
      <w:r>
        <w:rPr>
          <w:rFonts w:hint="eastAsia" w:ascii="Times New Roman" w:hAnsi="Times New Roman" w:eastAsia="方正仿宋_GB2312" w:cs="Times New Roman"/>
          <w:b/>
          <w:bCs/>
          <w:sz w:val="28"/>
          <w:szCs w:val="28"/>
        </w:rPr>
        <w:t>（四）转移支付制度</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1.转移支付的必要性</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Times New Roman" w:hAnsi="Times New Roman" w:eastAsia="方正仿宋_GB2312" w:cs="Times New Roman"/>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2.转移支付的形式</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ascii="宋体" w:hAnsi="宋体" w:eastAsia="宋体"/>
          <w:color w:val="000000" w:themeColor="text1"/>
          <w:sz w:val="28"/>
          <w:szCs w:val="28"/>
          <w14:textFill>
            <w14:solidFill>
              <w14:schemeClr w14:val="tx1"/>
            </w14:solidFill>
          </w14:textFill>
        </w:rPr>
      </w:pPr>
      <w:r>
        <w:rPr>
          <w:rFonts w:hint="eastAsia" w:ascii="Times New Roman" w:hAnsi="Times New Roman" w:eastAsia="方正仿宋_GB2312" w:cs="Times New Roman"/>
          <w:color w:val="000000" w:themeColor="text1"/>
          <w:sz w:val="28"/>
          <w:szCs w:val="28"/>
          <w14:textFill>
            <w14:solidFill>
              <w14:schemeClr w14:val="tx1"/>
            </w14:solidFill>
          </w14:textFill>
        </w:rPr>
        <w:t>3.我国现行转移支付制度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004A07BB"/>
    <w:rsid w:val="00083295"/>
    <w:rsid w:val="000A0A57"/>
    <w:rsid w:val="001509FD"/>
    <w:rsid w:val="00237579"/>
    <w:rsid w:val="00240250"/>
    <w:rsid w:val="002B42D9"/>
    <w:rsid w:val="00301ADE"/>
    <w:rsid w:val="004063DC"/>
    <w:rsid w:val="00480F70"/>
    <w:rsid w:val="004A07BB"/>
    <w:rsid w:val="004C58BD"/>
    <w:rsid w:val="004E1938"/>
    <w:rsid w:val="00506DFC"/>
    <w:rsid w:val="00527D93"/>
    <w:rsid w:val="00536721"/>
    <w:rsid w:val="00586BFB"/>
    <w:rsid w:val="005A457A"/>
    <w:rsid w:val="005C74D3"/>
    <w:rsid w:val="006563A4"/>
    <w:rsid w:val="006F463B"/>
    <w:rsid w:val="00701A3B"/>
    <w:rsid w:val="00735EDD"/>
    <w:rsid w:val="007A5AE4"/>
    <w:rsid w:val="00827879"/>
    <w:rsid w:val="008355B5"/>
    <w:rsid w:val="00850468"/>
    <w:rsid w:val="00955748"/>
    <w:rsid w:val="009758ED"/>
    <w:rsid w:val="009E239A"/>
    <w:rsid w:val="00A024A5"/>
    <w:rsid w:val="00A20EC8"/>
    <w:rsid w:val="00A92684"/>
    <w:rsid w:val="00B470BE"/>
    <w:rsid w:val="00C80A56"/>
    <w:rsid w:val="00CE4DF8"/>
    <w:rsid w:val="00D7589C"/>
    <w:rsid w:val="00D86C59"/>
    <w:rsid w:val="00DB565B"/>
    <w:rsid w:val="00DF1608"/>
    <w:rsid w:val="00E1089F"/>
    <w:rsid w:val="00E63216"/>
    <w:rsid w:val="00EB6C16"/>
    <w:rsid w:val="00ED6FDF"/>
    <w:rsid w:val="00EE0B90"/>
    <w:rsid w:val="00F075F0"/>
    <w:rsid w:val="00F14586"/>
    <w:rsid w:val="00FB7A33"/>
    <w:rsid w:val="213413B3"/>
    <w:rsid w:val="4DA70839"/>
    <w:rsid w:val="55B41754"/>
    <w:rsid w:val="5B363192"/>
    <w:rsid w:val="621A459D"/>
    <w:rsid w:val="6D047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3"/>
    <w:unhideWhenUsed/>
    <w:qFormat/>
    <w:uiPriority w:val="0"/>
    <w:rPr>
      <w:rFonts w:ascii="宋体" w:hAnsi="Courier New" w:eastAsia="宋体" w:cs="Times New Roman"/>
      <w:szCs w:val="20"/>
      <w:lang w:val="zh-CN"/>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customStyle="1" w:styleId="10">
    <w:name w:val="_Style 7"/>
    <w:basedOn w:val="1"/>
    <w:next w:val="11"/>
    <w:qFormat/>
    <w:uiPriority w:val="34"/>
    <w:pPr>
      <w:ind w:firstLine="420" w:firstLineChars="200"/>
    </w:pPr>
    <w:rPr>
      <w:rFonts w:ascii="Times New Roman" w:hAnsi="Times New Roman" w:eastAsia="宋体" w:cs="Times New Roman"/>
      <w:szCs w:val="20"/>
    </w:rPr>
  </w:style>
  <w:style w:type="paragraph" w:styleId="11">
    <w:name w:val="List Paragraph"/>
    <w:basedOn w:val="1"/>
    <w:qFormat/>
    <w:uiPriority w:val="0"/>
    <w:pPr>
      <w:ind w:firstLine="420" w:firstLineChars="200"/>
    </w:pPr>
  </w:style>
  <w:style w:type="character" w:customStyle="1" w:styleId="12">
    <w:name w:val="纯文本 字符"/>
    <w:basedOn w:val="7"/>
    <w:semiHidden/>
    <w:qFormat/>
    <w:uiPriority w:val="99"/>
    <w:rPr>
      <w:rFonts w:hAnsi="Courier New" w:cs="Courier New" w:asciiTheme="minorEastAsia"/>
    </w:rPr>
  </w:style>
  <w:style w:type="character" w:customStyle="1" w:styleId="13">
    <w:name w:val="纯文本 字符1"/>
    <w:link w:val="2"/>
    <w:qFormat/>
    <w:uiPriority w:val="0"/>
    <w:rPr>
      <w:rFonts w:ascii="宋体" w:hAnsi="Courier New" w:eastAsia="宋体" w:cs="Times New Roman"/>
      <w:szCs w:val="20"/>
      <w:lang w:val="zh-CN"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2801</Words>
  <Characters>3025</Characters>
  <Lines>23</Lines>
  <Paragraphs>6</Paragraphs>
  <TotalTime>0</TotalTime>
  <ScaleCrop>false</ScaleCrop>
  <LinksUpToDate>false</LinksUpToDate>
  <CharactersWithSpaces>3025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2022-03-14T14:08:00Z</dcterms:created>
  <dc:creator>lenovo</dc:creator>
  <cp:lastModifiedBy>Rhaegar Fang</cp:lastModifiedBy>
  <dcterms:modified xsi:type="dcterms:W3CDTF">2022-06-24T08:08:00Z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4FDD66DF176B457C91EFE41BA08AF180</vt:lpwstr>
  </property>
</Properties>
</file>