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中国农业大学非全日制专业学位硕士研究生</w:t>
      </w:r>
    </w:p>
    <w:p>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相关政策知情</w:t>
      </w:r>
      <w:r>
        <w:rPr>
          <w:rFonts w:hint="eastAsia" w:ascii="仿宋_GB2312" w:hAnsi="仿宋_GB2312" w:eastAsia="仿宋_GB2312" w:cs="仿宋_GB2312"/>
          <w:b/>
          <w:sz w:val="32"/>
          <w:szCs w:val="32"/>
          <w:lang w:val="en-US" w:eastAsia="zh-CN"/>
        </w:rPr>
        <w:t>同意</w:t>
      </w:r>
      <w:r>
        <w:rPr>
          <w:rFonts w:hint="eastAsia" w:ascii="仿宋_GB2312" w:hAnsi="仿宋_GB2312" w:eastAsia="仿宋_GB2312" w:cs="仿宋_GB2312"/>
          <w:b/>
          <w:sz w:val="32"/>
          <w:szCs w:val="32"/>
        </w:rPr>
        <w:t>书</w:t>
      </w:r>
    </w:p>
    <w:p>
      <w:pPr>
        <w:keepNext w:val="0"/>
        <w:keepLines w:val="0"/>
        <w:pageBreakBefore w:val="0"/>
        <w:widowControl w:val="0"/>
        <w:kinsoku/>
        <w:overflowPunct/>
        <w:topLinePunct w:val="0"/>
        <w:autoSpaceDE/>
        <w:autoSpaceDN/>
        <w:bidi w:val="0"/>
        <w:adjustRightInd/>
        <w:snapToGrid/>
        <w:spacing w:before="156" w:beforeLines="50" w:line="480" w:lineRule="exact"/>
        <w:ind w:firstLine="560" w:firstLineChars="200"/>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根据教育部要求，</w:t>
      </w:r>
      <w:r>
        <w:rPr>
          <w:rFonts w:hint="eastAsia" w:ascii="仿宋_GB2312" w:hAnsi="仿宋_GB2312" w:eastAsia="仿宋_GB2312" w:cs="仿宋_GB2312"/>
          <w:kern w:val="0"/>
          <w:sz w:val="28"/>
          <w:szCs w:val="28"/>
        </w:rPr>
        <w:t>我校非全日制研究生仅招收在职定向就业人员。</w:t>
      </w:r>
      <w:r>
        <w:rPr>
          <w:rFonts w:hint="eastAsia" w:ascii="仿宋_GB2312" w:hAnsi="仿宋_GB2312" w:eastAsia="仿宋_GB2312" w:cs="仿宋_GB2312"/>
          <w:kern w:val="0"/>
          <w:sz w:val="28"/>
          <w:szCs w:val="28"/>
          <w:lang w:val="en-US" w:eastAsia="zh-CN"/>
        </w:rPr>
        <w:t>请符合条件考生认真阅读以下内容，并承诺知情同意。</w:t>
      </w:r>
    </w:p>
    <w:p>
      <w:pPr>
        <w:keepNext w:val="0"/>
        <w:keepLines w:val="0"/>
        <w:pageBreakBefore w:val="0"/>
        <w:widowControl w:val="0"/>
        <w:kinsoku/>
        <w:overflowPunct/>
        <w:topLinePunct w:val="0"/>
        <w:autoSpaceDE/>
        <w:autoSpaceDN/>
        <w:bidi w:val="0"/>
        <w:adjustRightInd/>
        <w:snapToGrid/>
        <w:spacing w:before="0" w:beforeLines="0" w:line="480" w:lineRule="exact"/>
        <w:ind w:firstLine="562" w:firstLineChars="200"/>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bCs/>
          <w:kern w:val="0"/>
          <w:sz w:val="28"/>
          <w:szCs w:val="28"/>
          <w:lang w:val="en-US" w:eastAsia="zh-CN"/>
        </w:rPr>
        <w:t>1.</w:t>
      </w:r>
      <w:r>
        <w:rPr>
          <w:rFonts w:hint="eastAsia" w:ascii="仿宋_GB2312" w:hAnsi="仿宋_GB2312" w:eastAsia="仿宋_GB2312" w:cs="仿宋_GB2312"/>
          <w:b/>
          <w:bCs/>
          <w:kern w:val="0"/>
          <w:sz w:val="28"/>
          <w:szCs w:val="28"/>
          <w:lang w:val="en-US" w:eastAsia="zh-CN"/>
        </w:rPr>
        <w:t>报考类别：</w:t>
      </w:r>
      <w:r>
        <w:rPr>
          <w:rFonts w:hint="eastAsia" w:ascii="仿宋_GB2312" w:hAnsi="仿宋_GB2312" w:eastAsia="仿宋_GB2312" w:cs="仿宋_GB2312"/>
          <w:b w:val="0"/>
          <w:bCs w:val="0"/>
          <w:kern w:val="0"/>
          <w:sz w:val="28"/>
          <w:szCs w:val="28"/>
          <w:lang w:val="en-US" w:eastAsia="zh-CN"/>
        </w:rPr>
        <w:t>报名时在“报考类别”栏目处选择“定向就业”，否则不予准考。</w:t>
      </w:r>
    </w:p>
    <w:p>
      <w:pPr>
        <w:keepNext w:val="0"/>
        <w:keepLines w:val="0"/>
        <w:pageBreakBefore w:val="0"/>
        <w:widowControl w:val="0"/>
        <w:numPr>
          <w:numId w:val="0"/>
        </w:numPr>
        <w:kinsoku/>
        <w:overflowPunct/>
        <w:topLinePunct w:val="0"/>
        <w:autoSpaceDE/>
        <w:autoSpaceDN/>
        <w:bidi w:val="0"/>
        <w:adjustRightInd/>
        <w:snapToGrid/>
        <w:spacing w:beforeLines="0" w:line="480" w:lineRule="exact"/>
        <w:ind w:firstLine="562" w:firstLineChars="200"/>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bCs/>
          <w:kern w:val="0"/>
          <w:sz w:val="28"/>
          <w:szCs w:val="28"/>
          <w:lang w:val="en-US" w:eastAsia="zh-CN"/>
        </w:rPr>
        <w:t>2.毕业和学位：</w:t>
      </w:r>
      <w:r>
        <w:rPr>
          <w:rFonts w:hint="eastAsia" w:ascii="仿宋_GB2312" w:hAnsi="仿宋_GB2312" w:eastAsia="仿宋_GB2312" w:cs="仿宋_GB2312"/>
          <w:kern w:val="0"/>
          <w:sz w:val="28"/>
          <w:szCs w:val="28"/>
        </w:rPr>
        <w:t>非全日制和全日制专业学位研究生实行相同的考试招生政策和培养标准；毕业要求及学位授予要求坚持统一标准，保证同等质量；毕业证书上分别注明学习方式为“非全日制”、“全日制”；学位证书均为专业学位证书。</w:t>
      </w:r>
    </w:p>
    <w:p>
      <w:pPr>
        <w:keepNext w:val="0"/>
        <w:keepLines w:val="0"/>
        <w:pageBreakBefore w:val="0"/>
        <w:widowControl w:val="0"/>
        <w:numPr>
          <w:numId w:val="0"/>
        </w:numPr>
        <w:kinsoku/>
        <w:overflowPunct/>
        <w:topLinePunct w:val="0"/>
        <w:autoSpaceDE/>
        <w:autoSpaceDN/>
        <w:bidi w:val="0"/>
        <w:adjustRightInd/>
        <w:snapToGrid/>
        <w:spacing w:beforeLines="0" w:line="480" w:lineRule="exact"/>
        <w:ind w:firstLine="562" w:firstLineChars="200"/>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bCs/>
          <w:kern w:val="0"/>
          <w:sz w:val="28"/>
          <w:szCs w:val="28"/>
          <w:lang w:val="en-US" w:eastAsia="zh-CN"/>
        </w:rPr>
        <w:t>3.档案、户口和就业：</w:t>
      </w:r>
      <w:r>
        <w:rPr>
          <w:rFonts w:hint="eastAsia" w:ascii="仿宋_GB2312" w:hAnsi="仿宋_GB2312" w:eastAsia="仿宋_GB2312" w:cs="仿宋_GB2312"/>
          <w:b w:val="0"/>
          <w:bCs w:val="0"/>
          <w:kern w:val="0"/>
          <w:sz w:val="28"/>
          <w:szCs w:val="28"/>
        </w:rPr>
        <w:t>非全日制</w:t>
      </w:r>
      <w:r>
        <w:rPr>
          <w:rFonts w:hint="eastAsia" w:ascii="仿宋_GB2312" w:hAnsi="仿宋_GB2312" w:eastAsia="仿宋_GB2312" w:cs="仿宋_GB2312"/>
          <w:b w:val="0"/>
          <w:bCs w:val="0"/>
          <w:sz w:val="28"/>
          <w:szCs w:val="28"/>
        </w:rPr>
        <w:t>专业学位研究生</w:t>
      </w:r>
      <w:r>
        <w:rPr>
          <w:rFonts w:hint="eastAsia" w:ascii="仿宋_GB2312" w:hAnsi="仿宋_GB2312" w:eastAsia="仿宋_GB2312" w:cs="仿宋_GB2312"/>
          <w:b w:val="0"/>
          <w:bCs w:val="0"/>
          <w:kern w:val="0"/>
          <w:sz w:val="28"/>
          <w:szCs w:val="28"/>
        </w:rPr>
        <w:t>不</w:t>
      </w:r>
      <w:r>
        <w:rPr>
          <w:rFonts w:hint="eastAsia" w:ascii="仿宋_GB2312" w:hAnsi="仿宋_GB2312" w:eastAsia="仿宋_GB2312" w:cs="仿宋_GB2312"/>
          <w:b w:val="0"/>
          <w:bCs w:val="0"/>
          <w:kern w:val="0"/>
          <w:sz w:val="28"/>
          <w:szCs w:val="28"/>
          <w:lang w:val="en-US" w:eastAsia="zh-CN"/>
        </w:rPr>
        <w:t>调</w:t>
      </w:r>
      <w:r>
        <w:rPr>
          <w:rFonts w:hint="eastAsia" w:ascii="仿宋_GB2312" w:hAnsi="仿宋_GB2312" w:eastAsia="仿宋_GB2312" w:cs="仿宋_GB2312"/>
          <w:b w:val="0"/>
          <w:bCs w:val="0"/>
          <w:kern w:val="0"/>
          <w:sz w:val="28"/>
          <w:szCs w:val="28"/>
        </w:rPr>
        <w:t>档案、不转户口</w:t>
      </w:r>
      <w:r>
        <w:rPr>
          <w:rFonts w:hint="eastAsia" w:ascii="仿宋_GB2312" w:hAnsi="仿宋_GB2312" w:eastAsia="仿宋_GB2312" w:cs="仿宋_GB2312"/>
          <w:b w:val="0"/>
          <w:bCs w:val="0"/>
          <w:kern w:val="0"/>
          <w:sz w:val="28"/>
          <w:szCs w:val="28"/>
          <w:lang w:eastAsia="zh-CN"/>
        </w:rPr>
        <w:t>，</w:t>
      </w:r>
      <w:r>
        <w:rPr>
          <w:rFonts w:hint="eastAsia" w:ascii="仿宋_GB2312" w:hAnsi="仿宋_GB2312" w:eastAsia="仿宋_GB2312" w:cs="仿宋_GB2312"/>
          <w:b w:val="0"/>
          <w:bCs w:val="0"/>
          <w:kern w:val="0"/>
          <w:sz w:val="28"/>
          <w:szCs w:val="28"/>
          <w:lang w:val="en-US" w:eastAsia="zh-CN"/>
        </w:rPr>
        <w:t>毕业后回原就业单位，学校不负责派遣。</w:t>
      </w:r>
    </w:p>
    <w:p>
      <w:pPr>
        <w:keepNext w:val="0"/>
        <w:keepLines w:val="0"/>
        <w:pageBreakBefore w:val="0"/>
        <w:widowControl w:val="0"/>
        <w:numPr>
          <w:numId w:val="0"/>
        </w:numPr>
        <w:kinsoku/>
        <w:overflowPunct/>
        <w:topLinePunct w:val="0"/>
        <w:autoSpaceDE/>
        <w:autoSpaceDN/>
        <w:bidi w:val="0"/>
        <w:adjustRightInd/>
        <w:snapToGrid/>
        <w:spacing w:beforeLines="0" w:line="48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kern w:val="0"/>
          <w:sz w:val="28"/>
          <w:szCs w:val="28"/>
          <w:lang w:val="en-US" w:eastAsia="zh-CN"/>
        </w:rPr>
        <w:t>4.</w:t>
      </w:r>
      <w:r>
        <w:rPr>
          <w:rFonts w:hint="eastAsia" w:ascii="仿宋_GB2312" w:hAnsi="仿宋_GB2312" w:eastAsia="仿宋_GB2312" w:cs="仿宋_GB2312"/>
          <w:b/>
          <w:bCs/>
          <w:kern w:val="0"/>
          <w:sz w:val="28"/>
          <w:szCs w:val="28"/>
        </w:rPr>
        <w:t>住宿：</w:t>
      </w:r>
      <w:r>
        <w:rPr>
          <w:rFonts w:hint="eastAsia" w:ascii="仿宋_GB2312" w:hAnsi="仿宋_GB2312" w:eastAsia="仿宋_GB2312" w:cs="仿宋_GB2312"/>
          <w:sz w:val="28"/>
          <w:szCs w:val="28"/>
        </w:rPr>
        <w:t>非全日制专业学位研究生不解决</w:t>
      </w:r>
      <w:r>
        <w:rPr>
          <w:rFonts w:hint="eastAsia" w:ascii="仿宋_GB2312" w:hAnsi="仿宋_GB2312" w:eastAsia="仿宋_GB2312" w:cs="仿宋_GB2312"/>
          <w:sz w:val="28"/>
          <w:szCs w:val="28"/>
          <w:lang w:val="en-US" w:eastAsia="zh-CN"/>
        </w:rPr>
        <w:t>校内</w:t>
      </w:r>
      <w:r>
        <w:rPr>
          <w:rFonts w:hint="eastAsia" w:ascii="仿宋_GB2312" w:hAnsi="仿宋_GB2312" w:eastAsia="仿宋_GB2312" w:cs="仿宋_GB2312"/>
          <w:sz w:val="28"/>
          <w:szCs w:val="28"/>
        </w:rPr>
        <w:t>住宿。</w:t>
      </w:r>
    </w:p>
    <w:p>
      <w:pPr>
        <w:keepNext w:val="0"/>
        <w:keepLines w:val="0"/>
        <w:pageBreakBefore w:val="0"/>
        <w:widowControl w:val="0"/>
        <w:numPr>
          <w:numId w:val="0"/>
        </w:numPr>
        <w:kinsoku/>
        <w:overflowPunct/>
        <w:topLinePunct w:val="0"/>
        <w:autoSpaceDE/>
        <w:autoSpaceDN/>
        <w:bidi w:val="0"/>
        <w:adjustRightInd/>
        <w:snapToGrid/>
        <w:spacing w:beforeLines="0" w:line="48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kern w:val="0"/>
          <w:sz w:val="28"/>
          <w:szCs w:val="28"/>
          <w:lang w:val="en-US" w:eastAsia="zh-CN"/>
        </w:rPr>
        <w:t>5.</w:t>
      </w:r>
      <w:r>
        <w:rPr>
          <w:rFonts w:hint="eastAsia" w:ascii="仿宋_GB2312" w:hAnsi="仿宋_GB2312" w:eastAsia="仿宋_GB2312" w:cs="仿宋_GB2312"/>
          <w:b/>
          <w:bCs/>
          <w:kern w:val="0"/>
          <w:sz w:val="28"/>
          <w:szCs w:val="28"/>
        </w:rPr>
        <w:t>医疗：</w:t>
      </w:r>
      <w:r>
        <w:rPr>
          <w:rFonts w:hint="eastAsia" w:ascii="仿宋_GB2312" w:hAnsi="仿宋_GB2312" w:eastAsia="仿宋_GB2312" w:cs="仿宋_GB2312"/>
          <w:sz w:val="28"/>
          <w:szCs w:val="28"/>
        </w:rPr>
        <w:t>因无国家拨款，非全日制专业学位研究生不享受公费医疗；</w:t>
      </w:r>
      <w:r>
        <w:rPr>
          <w:rFonts w:hint="eastAsia" w:ascii="仿宋_GB2312" w:hAnsi="仿宋_GB2312" w:eastAsia="仿宋_GB2312" w:cs="仿宋_GB2312"/>
          <w:sz w:val="28"/>
          <w:szCs w:val="28"/>
        </w:rPr>
        <w:t>可自愿</w:t>
      </w:r>
      <w:r>
        <w:rPr>
          <w:rFonts w:hint="eastAsia" w:ascii="仿宋_GB2312" w:hAnsi="仿宋_GB2312" w:eastAsia="仿宋_GB2312" w:cs="仿宋_GB2312"/>
          <w:sz w:val="28"/>
          <w:szCs w:val="28"/>
        </w:rPr>
        <w:t>购买商业医疗保险。</w:t>
      </w:r>
    </w:p>
    <w:p>
      <w:pPr>
        <w:keepNext w:val="0"/>
        <w:keepLines w:val="0"/>
        <w:pageBreakBefore w:val="0"/>
        <w:widowControl w:val="0"/>
        <w:numPr>
          <w:numId w:val="0"/>
        </w:numPr>
        <w:kinsoku/>
        <w:overflowPunct/>
        <w:topLinePunct w:val="0"/>
        <w:autoSpaceDE/>
        <w:autoSpaceDN/>
        <w:bidi w:val="0"/>
        <w:adjustRightInd/>
        <w:snapToGrid/>
        <w:spacing w:beforeLines="0" w:line="48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6.</w:t>
      </w:r>
      <w:r>
        <w:rPr>
          <w:rFonts w:hint="eastAsia" w:ascii="仿宋_GB2312" w:hAnsi="仿宋_GB2312" w:eastAsia="仿宋_GB2312" w:cs="仿宋_GB2312"/>
          <w:b/>
          <w:bCs/>
          <w:kern w:val="0"/>
          <w:sz w:val="28"/>
          <w:szCs w:val="28"/>
        </w:rPr>
        <w:t>奖助：</w:t>
      </w:r>
      <w:r>
        <w:rPr>
          <w:rFonts w:hint="eastAsia" w:ascii="仿宋_GB2312" w:hAnsi="仿宋_GB2312" w:eastAsia="仿宋_GB2312" w:cs="仿宋_GB2312"/>
          <w:sz w:val="28"/>
          <w:szCs w:val="28"/>
        </w:rPr>
        <w:t>非全日制专业学位研究生不享受国家拨款的各类奖助学金，其他由学校设立的奖、助学金可参照当年相应的文件办法执行。</w:t>
      </w:r>
    </w:p>
    <w:p>
      <w:pPr>
        <w:keepNext w:val="0"/>
        <w:keepLines w:val="0"/>
        <w:pageBreakBefore w:val="0"/>
        <w:widowControl w:val="0"/>
        <w:numPr>
          <w:numId w:val="0"/>
        </w:numPr>
        <w:kinsoku/>
        <w:overflowPunct/>
        <w:topLinePunct w:val="0"/>
        <w:autoSpaceDE/>
        <w:autoSpaceDN/>
        <w:bidi w:val="0"/>
        <w:adjustRightInd/>
        <w:snapToGrid/>
        <w:spacing w:beforeLines="0" w:line="48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kern w:val="0"/>
          <w:sz w:val="28"/>
          <w:szCs w:val="28"/>
          <w:lang w:val="en-US" w:eastAsia="zh-CN"/>
        </w:rPr>
        <w:t>7.</w:t>
      </w:r>
      <w:r>
        <w:rPr>
          <w:rFonts w:hint="eastAsia" w:ascii="仿宋_GB2312" w:hAnsi="仿宋_GB2312" w:eastAsia="仿宋_GB2312" w:cs="仿宋_GB2312"/>
          <w:b/>
          <w:bCs/>
          <w:kern w:val="0"/>
          <w:sz w:val="28"/>
          <w:szCs w:val="28"/>
        </w:rPr>
        <w:t>校园卡：</w:t>
      </w:r>
      <w:r>
        <w:rPr>
          <w:rFonts w:hint="eastAsia" w:ascii="仿宋_GB2312" w:hAnsi="仿宋_GB2312" w:eastAsia="仿宋_GB2312" w:cs="仿宋_GB2312"/>
          <w:sz w:val="28"/>
          <w:szCs w:val="28"/>
        </w:rPr>
        <w:t>可办理校园卡，按照中国农业大学校园卡管理办法收取管理费。</w:t>
      </w:r>
    </w:p>
    <w:p>
      <w:pPr>
        <w:keepNext w:val="0"/>
        <w:keepLines w:val="0"/>
        <w:pageBreakBefore w:val="0"/>
        <w:widowControl w:val="0"/>
        <w:numPr>
          <w:numId w:val="0"/>
        </w:numPr>
        <w:kinsoku/>
        <w:overflowPunct/>
        <w:topLinePunct w:val="0"/>
        <w:autoSpaceDE/>
        <w:autoSpaceDN/>
        <w:bidi w:val="0"/>
        <w:adjustRightInd/>
        <w:snapToGrid/>
        <w:spacing w:beforeLines="0" w:line="480" w:lineRule="exact"/>
        <w:ind w:firstLine="562" w:firstLineChars="200"/>
        <w:textAlignment w:val="auto"/>
        <w:rPr>
          <w:rFonts w:hint="eastAsia" w:ascii="仿宋_GB2312" w:hAnsi="仿宋_GB2312" w:eastAsia="仿宋_GB2312" w:cs="仿宋_GB2312"/>
          <w:bCs w:val="0"/>
          <w:kern w:val="0"/>
          <w:sz w:val="28"/>
          <w:szCs w:val="28"/>
        </w:rPr>
      </w:pPr>
      <w:r>
        <w:rPr>
          <w:rFonts w:hint="eastAsia" w:ascii="仿宋_GB2312" w:hAnsi="仿宋_GB2312" w:eastAsia="仿宋_GB2312" w:cs="仿宋_GB2312"/>
          <w:b/>
          <w:bCs/>
          <w:sz w:val="28"/>
          <w:szCs w:val="28"/>
          <w:lang w:val="en-US" w:eastAsia="zh-CN"/>
        </w:rPr>
        <w:t>8.</w:t>
      </w:r>
      <w:r>
        <w:rPr>
          <w:rFonts w:hint="eastAsia" w:ascii="仿宋_GB2312" w:hAnsi="仿宋_GB2312" w:eastAsia="仿宋_GB2312" w:cs="仿宋_GB2312"/>
          <w:b/>
          <w:bCs/>
          <w:kern w:val="0"/>
          <w:sz w:val="28"/>
          <w:szCs w:val="28"/>
        </w:rPr>
        <w:t>学</w:t>
      </w:r>
      <w:r>
        <w:rPr>
          <w:rFonts w:hint="eastAsia" w:ascii="仿宋_GB2312" w:hAnsi="仿宋_GB2312" w:eastAsia="仿宋_GB2312" w:cs="仿宋_GB2312"/>
          <w:b/>
          <w:bCs/>
          <w:kern w:val="0"/>
          <w:sz w:val="28"/>
          <w:szCs w:val="28"/>
        </w:rPr>
        <w:t>制：</w:t>
      </w:r>
      <w:r>
        <w:rPr>
          <w:rFonts w:hint="eastAsia" w:ascii="仿宋_GB2312" w:hAnsi="仿宋_GB2312" w:eastAsia="仿宋_GB2312" w:cs="仿宋_GB2312"/>
          <w:b w:val="0"/>
          <w:bCs w:val="0"/>
          <w:kern w:val="0"/>
          <w:sz w:val="28"/>
          <w:szCs w:val="28"/>
        </w:rPr>
        <w:t>非全日制研究生基本修业年限（学制），工商管理、公共管理硕士研究生为二年，其他类别（领域）硕士研究生与全日制相应类别（领域）硕士研究生基本修业年限（学制）相同</w:t>
      </w:r>
      <w:r>
        <w:rPr>
          <w:rFonts w:hint="eastAsia" w:ascii="仿宋_GB2312" w:hAnsi="仿宋_GB2312" w:eastAsia="仿宋_GB2312" w:cs="仿宋_GB2312"/>
          <w:b w:val="0"/>
          <w:bCs w:val="0"/>
          <w:kern w:val="0"/>
          <w:sz w:val="28"/>
          <w:szCs w:val="28"/>
          <w:lang w:eastAsia="zh-CN"/>
        </w:rPr>
        <w:t>。</w:t>
      </w:r>
      <w:r>
        <w:rPr>
          <w:rFonts w:hint="eastAsia" w:ascii="仿宋_GB2312" w:hAnsi="仿宋_GB2312" w:eastAsia="仿宋_GB2312" w:cs="仿宋_GB2312"/>
          <w:b w:val="0"/>
          <w:bCs w:val="0"/>
          <w:kern w:val="0"/>
          <w:sz w:val="28"/>
          <w:szCs w:val="28"/>
        </w:rPr>
        <w:t>非全日制研究生的最长在校学习年限（含休学和保留学籍）为学制加二年</w:t>
      </w:r>
      <w:r>
        <w:rPr>
          <w:rFonts w:hint="eastAsia" w:ascii="仿宋_GB2312" w:hAnsi="仿宋_GB2312" w:eastAsia="仿宋_GB2312" w:cs="仿宋_GB2312"/>
          <w:bCs w:val="0"/>
          <w:kern w:val="0"/>
          <w:sz w:val="28"/>
          <w:szCs w:val="28"/>
        </w:rPr>
        <w:t>。</w:t>
      </w:r>
    </w:p>
    <w:p>
      <w:pPr>
        <w:keepNext w:val="0"/>
        <w:keepLines w:val="0"/>
        <w:pageBreakBefore w:val="0"/>
        <w:widowControl w:val="0"/>
        <w:numPr>
          <w:numId w:val="0"/>
        </w:numPr>
        <w:kinsoku/>
        <w:overflowPunct/>
        <w:topLinePunct w:val="0"/>
        <w:autoSpaceDE/>
        <w:autoSpaceDN/>
        <w:bidi w:val="0"/>
        <w:adjustRightInd/>
        <w:snapToGrid/>
        <w:spacing w:beforeLines="0" w:line="48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9.其他：</w:t>
      </w:r>
      <w:r>
        <w:rPr>
          <w:rFonts w:hint="eastAsia" w:ascii="仿宋_GB2312" w:hAnsi="仿宋_GB2312" w:eastAsia="仿宋_GB2312" w:cs="仿宋_GB2312"/>
          <w:sz w:val="28"/>
          <w:szCs w:val="28"/>
          <w:lang w:val="en-US" w:eastAsia="zh-CN"/>
        </w:rPr>
        <w:t>其他未尽事宜见本年度招生章程或教育部有关规定。</w:t>
      </w:r>
    </w:p>
    <w:p>
      <w:pPr>
        <w:keepNext w:val="0"/>
        <w:keepLines w:val="0"/>
        <w:pageBreakBefore w:val="0"/>
        <w:widowControl w:val="0"/>
        <w:kinsoku/>
        <w:overflowPunct/>
        <w:topLinePunct w:val="0"/>
        <w:autoSpaceDE/>
        <w:autoSpaceDN/>
        <w:bidi w:val="0"/>
        <w:adjustRightInd/>
        <w:snapToGrid/>
        <w:spacing w:beforeLines="0" w:line="480" w:lineRule="exact"/>
        <w:ind w:left="0"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overflowPunct/>
        <w:topLinePunct w:val="0"/>
        <w:autoSpaceDE/>
        <w:autoSpaceDN/>
        <w:bidi w:val="0"/>
        <w:adjustRightInd/>
        <w:snapToGrid/>
        <w:spacing w:beforeLines="0" w:line="480" w:lineRule="exact"/>
        <w:ind w:left="0" w:firstLine="560" w:firstLineChars="200"/>
        <w:jc w:val="right"/>
        <w:textAlignment w:val="auto"/>
        <w:rPr>
          <w:rFonts w:hint="eastAsia" w:ascii="仿宋_GB2312" w:hAnsi="仿宋_GB2312" w:eastAsia="仿宋_GB2312" w:cs="仿宋_GB2312"/>
          <w:sz w:val="28"/>
          <w:szCs w:val="28"/>
        </w:rPr>
      </w:pPr>
      <w:bookmarkStart w:id="0" w:name="_GoBack"/>
      <w:bookmarkEnd w:id="0"/>
      <w:r>
        <w:rPr>
          <w:rFonts w:hint="eastAsia" w:ascii="仿宋_GB2312" w:hAnsi="仿宋_GB2312" w:eastAsia="仿宋_GB2312" w:cs="仿宋_GB2312"/>
          <w:kern w:val="0"/>
          <w:sz w:val="28"/>
          <w:szCs w:val="28"/>
        </w:rPr>
        <w:t>知情同意人：</w:t>
      </w:r>
      <w:r>
        <w:rPr>
          <w:rFonts w:hint="eastAsia" w:ascii="仿宋_GB2312" w:hAnsi="仿宋_GB2312" w:eastAsia="仿宋_GB2312" w:cs="仿宋_GB2312"/>
          <w:sz w:val="28"/>
          <w:szCs w:val="28"/>
        </w:rPr>
        <w:t>______________________</w:t>
      </w:r>
    </w:p>
    <w:p>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考生签字后在复试阶段提交报考学院。</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824"/>
    <w:rsid w:val="00023130"/>
    <w:rsid w:val="000C7B82"/>
    <w:rsid w:val="000D481D"/>
    <w:rsid w:val="000E5E59"/>
    <w:rsid w:val="00102F99"/>
    <w:rsid w:val="001052AA"/>
    <w:rsid w:val="002D0A5E"/>
    <w:rsid w:val="00351662"/>
    <w:rsid w:val="00373FC3"/>
    <w:rsid w:val="00381C74"/>
    <w:rsid w:val="00382DB8"/>
    <w:rsid w:val="00415C6E"/>
    <w:rsid w:val="004533BC"/>
    <w:rsid w:val="0045407E"/>
    <w:rsid w:val="00480824"/>
    <w:rsid w:val="004D16F3"/>
    <w:rsid w:val="004F4FE2"/>
    <w:rsid w:val="00523A82"/>
    <w:rsid w:val="0052672E"/>
    <w:rsid w:val="00543479"/>
    <w:rsid w:val="00587440"/>
    <w:rsid w:val="005908F8"/>
    <w:rsid w:val="005A1B7C"/>
    <w:rsid w:val="005A3124"/>
    <w:rsid w:val="005D2B74"/>
    <w:rsid w:val="00636232"/>
    <w:rsid w:val="0069309A"/>
    <w:rsid w:val="006A69BB"/>
    <w:rsid w:val="0079149F"/>
    <w:rsid w:val="007B2C92"/>
    <w:rsid w:val="007B52F5"/>
    <w:rsid w:val="007F2F53"/>
    <w:rsid w:val="007F6FFF"/>
    <w:rsid w:val="00802037"/>
    <w:rsid w:val="00867EB0"/>
    <w:rsid w:val="008B1CF3"/>
    <w:rsid w:val="00934EAC"/>
    <w:rsid w:val="00A40B33"/>
    <w:rsid w:val="00A74A83"/>
    <w:rsid w:val="00AA18E0"/>
    <w:rsid w:val="00B60AC3"/>
    <w:rsid w:val="00BB5CF9"/>
    <w:rsid w:val="00BD44B6"/>
    <w:rsid w:val="00BD7654"/>
    <w:rsid w:val="00C373D9"/>
    <w:rsid w:val="00C7072E"/>
    <w:rsid w:val="00C777E0"/>
    <w:rsid w:val="00CB6D1E"/>
    <w:rsid w:val="00CD2C35"/>
    <w:rsid w:val="00CE4AB3"/>
    <w:rsid w:val="00D44FA3"/>
    <w:rsid w:val="00D719A8"/>
    <w:rsid w:val="00DA0085"/>
    <w:rsid w:val="00DC21EF"/>
    <w:rsid w:val="00DC71C7"/>
    <w:rsid w:val="00E23463"/>
    <w:rsid w:val="00E55A34"/>
    <w:rsid w:val="00E62B1B"/>
    <w:rsid w:val="00E6768E"/>
    <w:rsid w:val="00E753DE"/>
    <w:rsid w:val="00EA08CF"/>
    <w:rsid w:val="00ED3F55"/>
    <w:rsid w:val="00F57884"/>
    <w:rsid w:val="00FF1291"/>
    <w:rsid w:val="0FF93F94"/>
    <w:rsid w:val="17D26EBB"/>
    <w:rsid w:val="47A4431D"/>
    <w:rsid w:val="485A21CC"/>
    <w:rsid w:val="500A5905"/>
    <w:rsid w:val="57CB5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link w:val="4"/>
    <w:qFormat/>
    <w:uiPriority w:val="0"/>
    <w:rPr>
      <w:kern w:val="2"/>
      <w:sz w:val="18"/>
      <w:szCs w:val="18"/>
    </w:rPr>
  </w:style>
  <w:style w:type="character" w:customStyle="1" w:styleId="8">
    <w:name w:val="页脚 Char"/>
    <w:link w:val="3"/>
    <w:uiPriority w:val="0"/>
    <w:rPr>
      <w:kern w:val="2"/>
      <w:sz w:val="18"/>
      <w:szCs w:val="18"/>
    </w:rPr>
  </w:style>
  <w:style w:type="character" w:customStyle="1" w:styleId="9">
    <w:name w:val="批注框文本 Char"/>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南开大学</Company>
  <Pages>1</Pages>
  <Words>124</Words>
  <Characters>708</Characters>
  <Lines>5</Lines>
  <Paragraphs>1</Paragraphs>
  <TotalTime>6</TotalTime>
  <ScaleCrop>false</ScaleCrop>
  <LinksUpToDate>false</LinksUpToDate>
  <CharactersWithSpaces>831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2017-03-16T06:39:00Z</dcterms:created>
  <dc:creator>微软用户</dc:creator>
  <cp:lastModifiedBy>牛</cp:lastModifiedBy>
  <cp:lastPrinted>2017-03-16T06:35:00Z</cp:lastPrinted>
  <dcterms:modified xsi:type="dcterms:W3CDTF">2021-09-16T03:16:47Z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63D39ACE645C44418258A149A8BEABBB</vt:lpwstr>
  </property>
</Properties>
</file>