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Times New Roman" w:eastAsia="黑体" w:cs="Times New Roman"/>
          <w:b/>
          <w:sz w:val="32"/>
          <w:szCs w:val="32"/>
        </w:rPr>
      </w:pPr>
      <w:r>
        <w:rPr>
          <w:rFonts w:ascii="黑体" w:hAnsi="Times New Roman" w:eastAsia="黑体" w:cs="Times New Roman"/>
          <w:b/>
          <w:sz w:val="32"/>
          <w:szCs w:val="32"/>
        </w:rPr>
        <w:t>2023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年杭州</w:t>
      </w:r>
      <w:r>
        <w:rPr>
          <w:rFonts w:ascii="黑体" w:hAnsi="Times New Roman" w:eastAsia="黑体" w:cs="Times New Roman"/>
          <w:b/>
          <w:sz w:val="32"/>
          <w:szCs w:val="32"/>
        </w:rPr>
        <w:t>师范大学</w:t>
      </w:r>
      <w:r>
        <w:rPr>
          <w:rFonts w:hint="eastAsia" w:ascii="黑体" w:hAnsi="Times New Roman" w:eastAsia="黑体" w:cs="Times New Roman"/>
          <w:b/>
          <w:sz w:val="32"/>
          <w:szCs w:val="32"/>
        </w:rPr>
        <w:t>硕士研究生招生考试初试科目</w:t>
      </w:r>
      <w:r>
        <w:rPr>
          <w:rFonts w:ascii="黑体" w:hAnsi="Times New Roman" w:eastAsia="黑体" w:cs="Times New Roman"/>
          <w:b/>
          <w:sz w:val="32"/>
          <w:szCs w:val="32"/>
        </w:rPr>
        <w:br w:type="textWrapping"/>
      </w:r>
      <w:r>
        <w:rPr>
          <w:rFonts w:hint="eastAsia" w:ascii="黑体" w:hAnsi="Times New Roman" w:eastAsia="黑体" w:cs="Times New Roman"/>
          <w:b/>
          <w:sz w:val="32"/>
          <w:szCs w:val="32"/>
        </w:rPr>
        <w:t>考　试　大　纲</w:t>
      </w:r>
    </w:p>
    <w:p>
      <w:pPr>
        <w:spacing w:after="468" w:afterLines="150" w:line="400" w:lineRule="exact"/>
        <w:jc w:val="center"/>
        <w:rPr>
          <w:rFonts w:ascii="楷体" w:hAnsi="楷体" w:eastAsia="楷体" w:cs="楷体"/>
          <w:sz w:val="24"/>
          <w:szCs w:val="24"/>
        </w:rPr>
      </w:pPr>
    </w:p>
    <w:tbl>
      <w:tblPr>
        <w:tblStyle w:val="4"/>
        <w:tblW w:w="84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840"/>
      </w:tblGrid>
      <w:tr>
        <w:trPr>
          <w:trHeight w:val="435" w:hRule="atLeast"/>
        </w:trPr>
        <w:tc>
          <w:tcPr>
            <w:tcW w:w="1620" w:type="dxa"/>
            <w:vAlign w:val="bottom"/>
          </w:tcPr>
          <w:p>
            <w:pPr>
              <w:spacing w:after="46" w:afterLines="15"/>
              <w:ind w:left="-105" w:leftChars="-50" w:right="-105" w:rightChars="-5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科目代码、名称:</w:t>
            </w:r>
          </w:p>
        </w:tc>
        <w:tc>
          <w:tcPr>
            <w:tcW w:w="6840" w:type="dxa"/>
            <w:tcBorders>
              <w:bottom w:val="single" w:color="auto" w:sz="4" w:space="0"/>
            </w:tcBorders>
            <w:vAlign w:val="bottom"/>
          </w:tcPr>
          <w:p>
            <w:pPr>
              <w:keepNext/>
              <w:keepLines/>
              <w:spacing w:before="78" w:beforeLines="25" w:after="31" w:afterLines="10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kern w:val="44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44"/>
                <w:szCs w:val="21"/>
              </w:rPr>
              <w:t xml:space="preserve">352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44"/>
                <w:szCs w:val="21"/>
              </w:rPr>
              <w:t>口腔医学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44"/>
                <w:szCs w:val="21"/>
              </w:rPr>
              <w:t xml:space="preserve"> </w:t>
            </w:r>
          </w:p>
        </w:tc>
      </w:tr>
    </w:tbl>
    <w:p>
      <w:pPr>
        <w:numPr>
          <w:ilvl w:val="0"/>
          <w:numId w:val="1"/>
        </w:numPr>
        <w:spacing w:before="312" w:beforeLines="100" w:after="31" w:afterLines="1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考试形式与试卷结构 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  </w:t>
      </w:r>
    </w:p>
    <w:p>
      <w:pPr>
        <w:numPr>
          <w:ilvl w:val="0"/>
          <w:numId w:val="2"/>
        </w:numPr>
        <w:spacing w:before="31" w:beforeLines="10" w:after="31" w:afterLines="10" w:line="360" w:lineRule="auto"/>
        <w:ind w:firstLine="422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试卷满分值及考试时间</w:t>
      </w:r>
    </w:p>
    <w:p>
      <w:pPr>
        <w:spacing w:before="31" w:beforeLines="10" w:after="31" w:afterLines="10" w:line="360" w:lineRule="auto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Times New Roman"/>
          <w:b/>
          <w:bCs/>
          <w:color w:val="FF0000"/>
          <w:szCs w:val="21"/>
        </w:rPr>
        <w:t xml:space="preserve">   </w:t>
      </w:r>
      <w:r>
        <w:rPr>
          <w:rFonts w:hint="eastAsia" w:ascii="楷体" w:hAnsi="楷体" w:eastAsia="楷体" w:cs="楷体"/>
          <w:b/>
          <w:bCs/>
          <w:color w:val="FF0000"/>
          <w:szCs w:val="21"/>
        </w:rPr>
        <w:t xml:space="preserve"> </w:t>
      </w:r>
      <w:r>
        <w:rPr>
          <w:rFonts w:hint="eastAsia" w:ascii="楷体" w:hAnsi="楷体" w:eastAsia="楷体" w:cs="楷体"/>
          <w:b/>
          <w:bCs/>
          <w:color w:val="FF0000"/>
          <w:sz w:val="24"/>
          <w:szCs w:val="24"/>
        </w:rPr>
        <w:t xml:space="preserve"> </w:t>
      </w:r>
      <w:r>
        <w:rPr>
          <w:rFonts w:hint="eastAsia" w:ascii="新宋体" w:hAnsi="新宋体" w:eastAsia="新宋体" w:cs="Times New Roman"/>
          <w:szCs w:val="21"/>
        </w:rPr>
        <w:t>本试卷满分为</w:t>
      </w:r>
      <w:r>
        <w:rPr>
          <w:rFonts w:ascii="新宋体" w:hAnsi="新宋体" w:eastAsia="新宋体" w:cs="Times New Roman"/>
          <w:szCs w:val="21"/>
        </w:rPr>
        <w:t>300</w:t>
      </w:r>
      <w:r>
        <w:rPr>
          <w:rFonts w:hint="eastAsia" w:ascii="新宋体" w:hAnsi="新宋体" w:eastAsia="新宋体" w:cs="Times New Roman"/>
          <w:szCs w:val="21"/>
        </w:rPr>
        <w:t>分，考试时间为</w:t>
      </w:r>
      <w:r>
        <w:rPr>
          <w:rFonts w:ascii="新宋体" w:hAnsi="新宋体" w:eastAsia="新宋体" w:cs="Times New Roman"/>
          <w:szCs w:val="21"/>
        </w:rPr>
        <w:t>180</w:t>
      </w:r>
      <w:r>
        <w:rPr>
          <w:rFonts w:hint="eastAsia" w:ascii="新宋体" w:hAnsi="新宋体" w:eastAsia="新宋体" w:cs="Times New Roman"/>
          <w:szCs w:val="21"/>
        </w:rPr>
        <w:t>分钟。</w:t>
      </w:r>
    </w:p>
    <w:p>
      <w:pPr>
        <w:spacing w:before="31" w:beforeLines="10" w:after="31" w:afterLines="10" w:line="360" w:lineRule="auto"/>
        <w:rPr>
          <w:rFonts w:ascii="新宋体" w:hAnsi="新宋体" w:eastAsia="新宋体" w:cs="Times New Roman"/>
          <w:b/>
          <w:szCs w:val="21"/>
        </w:rPr>
      </w:pPr>
      <w:r>
        <w:rPr>
          <w:rFonts w:hint="eastAsia" w:ascii="新宋体" w:hAnsi="新宋体" w:eastAsia="新宋体" w:cs="Times New Roman"/>
          <w:b/>
          <w:szCs w:val="21"/>
        </w:rPr>
        <w:t xml:space="preserve">    （二）答题方式</w:t>
      </w:r>
    </w:p>
    <w:p>
      <w:pPr>
        <w:spacing w:before="31" w:beforeLines="10" w:after="31" w:afterLines="10" w:line="360" w:lineRule="auto"/>
        <w:ind w:firstLine="420" w:firstLineChars="200"/>
        <w:rPr>
          <w:rFonts w:ascii="新宋体" w:hAnsi="新宋体" w:eastAsia="新宋体" w:cs="Times New Roman"/>
          <w:szCs w:val="21"/>
        </w:rPr>
      </w:pPr>
      <w:r>
        <w:rPr>
          <w:rFonts w:hint="eastAsia" w:ascii="新宋体" w:hAnsi="新宋体" w:eastAsia="新宋体" w:cs="Times New Roman"/>
          <w:szCs w:val="21"/>
        </w:rPr>
        <w:t xml:space="preserve"> 答题方式为闭卷、笔试。试卷由试题和答题纸组成；答案必须写在答题纸（由考点提供）相应的位置上。</w:t>
      </w:r>
    </w:p>
    <w:p>
      <w:pPr>
        <w:spacing w:before="31" w:beforeLines="10" w:after="31" w:afterLines="10" w:line="360" w:lineRule="auto"/>
        <w:ind w:firstLine="422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新宋体" w:hAnsi="新宋体" w:eastAsia="新宋体" w:cs="Times New Roman"/>
          <w:b/>
          <w:szCs w:val="21"/>
        </w:rPr>
        <w:t>（三）试卷内容结构</w:t>
      </w:r>
    </w:p>
    <w:p>
      <w:pPr>
        <w:spacing w:line="360" w:lineRule="auto"/>
        <w:ind w:firstLine="420" w:firstLineChars="200"/>
        <w:rPr>
          <w:rFonts w:ascii="宋体" w:hAnsi="宋体" w:eastAsia="宋体" w:cs="Arial"/>
          <w:b/>
          <w:bCs/>
          <w:color w:val="000000"/>
          <w:szCs w:val="21"/>
        </w:rPr>
      </w:pPr>
      <w:r>
        <w:rPr>
          <w:rFonts w:hint="eastAsia" w:ascii="宋体" w:hAnsi="宋体" w:eastAsia="宋体" w:cs="Arial"/>
          <w:color w:val="000000"/>
          <w:szCs w:val="21"/>
        </w:rPr>
        <w:t xml:space="preserve"> 口腔解剖生理学</w:t>
      </w:r>
      <w:r>
        <w:rPr>
          <w:rFonts w:ascii="宋体" w:hAnsi="宋体" w:eastAsia="宋体" w:cs="Arial"/>
          <w:color w:val="000000"/>
          <w:szCs w:val="21"/>
        </w:rPr>
        <w:t>10%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口腔组织病理学10%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牙周病学10%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口腔修复学20%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口腔颌面外科学20%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口腔种植学4%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牙体牙髓病学10%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口腔黏膜病学4%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儿童口腔医学4%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口腔正畸学4%</w:t>
      </w:r>
      <w:r>
        <w:rPr>
          <w:rFonts w:hint="eastAsia" w:ascii="宋体" w:hAnsi="宋体" w:eastAsia="宋体" w:cs="Arial"/>
          <w:color w:val="000000"/>
          <w:szCs w:val="21"/>
          <w:lang w:eastAsia="zh-CN"/>
        </w:rPr>
        <w:t>，</w:t>
      </w:r>
      <w:r>
        <w:rPr>
          <w:rFonts w:ascii="宋体" w:hAnsi="宋体" w:eastAsia="宋体" w:cs="Arial"/>
          <w:color w:val="000000"/>
          <w:szCs w:val="21"/>
        </w:rPr>
        <w:t>口腔材料学4%</w:t>
      </w:r>
    </w:p>
    <w:p>
      <w:pPr>
        <w:spacing w:before="31" w:beforeLines="10" w:after="31" w:afterLines="10" w:line="360" w:lineRule="auto"/>
        <w:ind w:firstLine="422" w:firstLineChars="200"/>
        <w:rPr>
          <w:rFonts w:ascii="新宋体" w:hAnsi="新宋体" w:eastAsia="新宋体" w:cs="Times New Roman"/>
          <w:b/>
          <w:szCs w:val="21"/>
        </w:rPr>
      </w:pPr>
      <w:r>
        <w:rPr>
          <w:rFonts w:hint="eastAsia" w:ascii="新宋体" w:hAnsi="新宋体" w:eastAsia="新宋体" w:cs="Times New Roman"/>
          <w:b/>
          <w:szCs w:val="21"/>
        </w:rPr>
        <w:t>（四）试卷题型结构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 xml:space="preserve"> </w:t>
      </w:r>
      <w:r>
        <w:rPr>
          <w:rFonts w:hint="eastAsia" w:ascii="宋体" w:hAnsi="宋体" w:eastAsia="宋体" w:cs="Arial"/>
          <w:color w:val="000000"/>
          <w:szCs w:val="21"/>
        </w:rPr>
        <w:t>考试内容主要包括（但不限于）单项选择题、名词解释、简答题、问答题、病例分析。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二、考查目标</w:t>
      </w:r>
    </w:p>
    <w:p>
      <w:pPr>
        <w:widowControl/>
        <w:spacing w:line="400" w:lineRule="exact"/>
        <w:ind w:firstLine="630" w:firstLineChars="300"/>
        <w:jc w:val="left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color w:val="000000"/>
          <w:szCs w:val="21"/>
        </w:rPr>
        <w:t>课程考试的目的在于测试考生对于</w:t>
      </w:r>
      <w:r>
        <w:rPr>
          <w:rFonts w:hint="eastAsia" w:ascii="宋体" w:hAnsi="宋体" w:eastAsia="宋体" w:cs="宋体"/>
          <w:kern w:val="0"/>
          <w:szCs w:val="21"/>
        </w:rPr>
        <w:t>口腔解剖生理学、</w:t>
      </w:r>
      <w:r>
        <w:rPr>
          <w:rFonts w:ascii="宋体" w:hAnsi="宋体" w:eastAsia="宋体" w:cs="宋体"/>
          <w:kern w:val="0"/>
          <w:szCs w:val="21"/>
        </w:rPr>
        <w:t>口腔组织病理学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牙周病学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口腔修复学</w:t>
      </w:r>
      <w:r>
        <w:rPr>
          <w:rFonts w:hint="eastAsia" w:ascii="宋体" w:hAnsi="宋体" w:eastAsia="宋体" w:cs="宋体"/>
          <w:kern w:val="0"/>
          <w:szCs w:val="21"/>
        </w:rPr>
        <w:t>、口</w:t>
      </w:r>
      <w:r>
        <w:rPr>
          <w:rFonts w:ascii="宋体" w:hAnsi="宋体" w:eastAsia="宋体" w:cs="宋体"/>
          <w:kern w:val="0"/>
          <w:szCs w:val="21"/>
        </w:rPr>
        <w:t>腔颌面外科学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口腔种植学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牙体牙髓病学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口腔黏膜病学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儿童口腔医学</w:t>
      </w:r>
      <w:r>
        <w:rPr>
          <w:rFonts w:hint="eastAsia" w:ascii="宋体" w:hAnsi="宋体" w:eastAsia="宋体" w:cs="宋体"/>
          <w:kern w:val="0"/>
          <w:szCs w:val="21"/>
        </w:rPr>
        <w:t>、</w:t>
      </w:r>
      <w:r>
        <w:rPr>
          <w:rFonts w:ascii="宋体" w:hAnsi="宋体" w:eastAsia="宋体" w:cs="宋体"/>
          <w:kern w:val="0"/>
          <w:szCs w:val="21"/>
        </w:rPr>
        <w:t>口腔正畸学</w:t>
      </w:r>
      <w:r>
        <w:rPr>
          <w:rFonts w:hint="eastAsia" w:ascii="宋体" w:hAnsi="宋体" w:eastAsia="宋体" w:cs="宋体"/>
          <w:kern w:val="0"/>
          <w:szCs w:val="21"/>
        </w:rPr>
        <w:t>和</w:t>
      </w:r>
      <w:r>
        <w:rPr>
          <w:rFonts w:ascii="宋体" w:hAnsi="宋体" w:eastAsia="宋体" w:cs="宋体"/>
          <w:kern w:val="0"/>
          <w:szCs w:val="21"/>
        </w:rPr>
        <w:t>口腔材料学</w:t>
      </w:r>
      <w:r>
        <w:rPr>
          <w:rFonts w:hint="eastAsia" w:ascii="宋体" w:hAnsi="宋体" w:eastAsia="宋体" w:cs="宋体"/>
          <w:kern w:val="0"/>
          <w:szCs w:val="21"/>
        </w:rPr>
        <w:t>的</w:t>
      </w:r>
      <w:r>
        <w:rPr>
          <w:rFonts w:hint="eastAsia" w:ascii="宋体" w:hAnsi="宋体" w:eastAsia="宋体" w:cs="Arial"/>
          <w:color w:val="000000"/>
          <w:szCs w:val="21"/>
        </w:rPr>
        <w:t>基础理论知识、临床理论的掌握能力，能够运用所学的基础理论、基本知识和基本技能综合分析、判断和解决有关理论问题和实际问题。</w:t>
      </w:r>
    </w:p>
    <w:p>
      <w:pPr>
        <w:numPr>
          <w:ilvl w:val="0"/>
          <w:numId w:val="3"/>
        </w:numPr>
        <w:spacing w:before="31" w:beforeLines="10" w:after="31" w:afterLines="10"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考查范围或考试内容概要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口腔组织病理学</w:t>
      </w:r>
    </w:p>
    <w:p>
      <w:pPr>
        <w:spacing w:before="31" w:beforeLines="10" w:after="31" w:afterLines="10" w:line="360" w:lineRule="auto"/>
        <w:ind w:left="630" w:left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1.口腔胚胎学，口腔颌面部开始发育的时间，形成的各面突，面突联（融）合的时间、过程，所形成的面部组织、器官及常见的发育异常。</w:t>
      </w:r>
    </w:p>
    <w:p>
      <w:pPr>
        <w:spacing w:before="31" w:beforeLines="10" w:after="31" w:afterLines="10" w:line="360" w:lineRule="auto"/>
        <w:ind w:left="630" w:left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2.牙齿开始发育的时间，发育过程中形成的组织、器官及其镜下的组织学表现；牙体、牙周各组织的形成过程。</w:t>
      </w:r>
    </w:p>
    <w:p>
      <w:pPr>
        <w:spacing w:before="31" w:beforeLines="10" w:after="31" w:afterLines="10" w:line="360" w:lineRule="auto"/>
        <w:ind w:left="630" w:left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3.口腔组织学，牙体、牙周、黏膜、涎腺各器官的一般组织结构及其结构特点。</w:t>
      </w:r>
    </w:p>
    <w:p>
      <w:pPr>
        <w:spacing w:before="31" w:beforeLines="10" w:after="31" w:afterLines="10" w:line="360" w:lineRule="auto"/>
        <w:ind w:left="630" w:left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4.口腔病理学，口腔颌面部各组织器官常见疾病的病理变化及鉴别诊断。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口腔解剖生理学</w:t>
      </w:r>
    </w:p>
    <w:p>
      <w:pPr>
        <w:pStyle w:val="8"/>
        <w:numPr>
          <w:ilvl w:val="0"/>
          <w:numId w:val="5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口腔局部解剖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1.上、下颌骨、蝶骨、颞骨的形态结构和解剖特点。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2.颞下颌关节的组成及各部分的结构特点，颞下颌关节运动的开闭口运动特点，颞下颌关节运动中的生物力学作用，颞下颌关节功能解剖特点。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3.表情肌、咀嚼肌、腭咽部肌各自肌群的位置、起止点、形态和功能。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4.口颌系统的肌链及其临床意义。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5.腮腺、下颌腺、外腺、小唾液腺的位置、形态及其腺导管的走行、开口部位、临床应用、神经支配、血管分布、淋巴回流；颈总动脉的行程、颈动脉窦、颈动脉体的位置、性质及功能。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6.颈外动脉及其分支的行程、分布、临床</w:t>
      </w:r>
      <w:r>
        <w:rPr>
          <w:rFonts w:hint="eastAsia" w:ascii="Times New Roman" w:hAnsi="Times New Roman" w:eastAsia="宋体" w:cs="Times New Roman"/>
          <w:szCs w:val="21"/>
        </w:rPr>
        <w:t>应用；颈内动脉的行程。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7.面前静脉、颞浅静脉、翼静脉丛、颈内静脉、面后静脉、面总静脉、颌内静脉的起止、行程和属支。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8.颅内、外静脉的交通及其临床应用；腮腺淋巴结、下颌下腺淋巴结、面淋巴结、颏下淋巴结的位置、收集范围及淋巴流向。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9.颈外侧群淋巴结的位置、收集范围和淋巴流向。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10.右淋巴导管和胸导管颈段的组成、行程收集范围及注入部。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11.三叉神经分支的起止行程、分支、管理分布，及上、下颌神经在口腔内的分布及其变异。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12.面神经管段的分支，面神经颅外段及其分支、分支的起止行程，分布区域及损伤时造成的面瘫结果。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13.舌下神经的纤维成份、分支、支配范围及其临床应用。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14.口腔的境界、分布、口腔前庭及其表面解剖标志。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15.唇的境界、表面解剖标志、层次、及淋巴回流、血供、神经支配。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16.颊的层次及境界。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17.牙龈的结构特点。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18.硬腭的层次及结构特点。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19.软腭表面解剖标志、层次、构造及其神经分部。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20.舌下区的境界、表面解剖标志、内容及其排列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21.舌乳头分类、舌的肌肉、血管、淋巴回流及神经。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22.皮肤及皮下组织的特点。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23.腮腺咬肌区的境界、层次及内容、显露面神经主干及其分支的标志。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24.面侧深区的境界及层次及内容。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25.蜂窝组织间隙及其连通。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26.颈部境界、分区、体表标志及体表投影。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27.下颌下三角的境界、层次、内容及毗邻。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28.气管颈段前方的层次及毗邻、气管切开术注意事项。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29.颈动脉三角的境界、层次、内容、毗邻。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30.颈内外动脉的鉴别。</w:t>
      </w:r>
    </w:p>
    <w:p>
      <w:pPr>
        <w:pStyle w:val="8"/>
        <w:numPr>
          <w:ilvl w:val="0"/>
          <w:numId w:val="5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牙体解剖及牙合生理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1.临床牙位记录，一般应用名词及表面解剖标志。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2.各类牙齿的应用解剖，乳恒牙鉴别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3.牙体形态的生理意义，牙齿排列及牙合面形态特征。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4.各类牙合、颌位的定义、特征、特点及意义。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5.颌位之间的关系。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6.下颌运动制约因素、运动形式及范围。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7.咀嚼运动过程及其生物力学杠杆作用，咀嚼肌力、牙合力及牙周潜力。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8.咀嚼效率定义方法影响因素。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9.磨耗及磨损。</w:t>
      </w:r>
    </w:p>
    <w:p>
      <w:pPr>
        <w:pStyle w:val="8"/>
        <w:spacing w:before="31" w:beforeLines="10" w:after="31" w:afterLines="10" w:line="360" w:lineRule="auto"/>
        <w:ind w:left="105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10.唾液功能。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牙周病学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1.牙周组织的解剖和生理。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2.牙周病的病因、主要症状和检查。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3.牙龈病和牙周炎诊断、治疗和预后。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4.牙周炎的伴发病变。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5.牙周病的治疗计划设计。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6.牙周基础治疗。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7.牙周病药物治疗。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8.牙周病手术治疗和术后组织愈合。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9.牙周病疗效维护。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口腔修复学</w:t>
      </w:r>
    </w:p>
    <w:p>
      <w:pPr>
        <w:pStyle w:val="8"/>
        <w:numPr>
          <w:ilvl w:val="0"/>
          <w:numId w:val="6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基本知识</w:t>
      </w:r>
    </w:p>
    <w:p>
      <w:pPr>
        <w:pStyle w:val="8"/>
        <w:spacing w:before="31" w:beforeLines="10" w:after="31" w:afterLines="10" w:line="360" w:lineRule="auto"/>
        <w:ind w:left="99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1.修复前的准备及处理。</w:t>
      </w:r>
    </w:p>
    <w:p>
      <w:pPr>
        <w:pStyle w:val="8"/>
        <w:spacing w:before="31" w:beforeLines="10" w:after="31" w:afterLines="10" w:line="360" w:lineRule="auto"/>
        <w:ind w:left="99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2.印模技术。</w:t>
      </w:r>
    </w:p>
    <w:p>
      <w:pPr>
        <w:pStyle w:val="8"/>
        <w:spacing w:before="31" w:beforeLines="10" w:after="31" w:afterLines="10" w:line="360" w:lineRule="auto"/>
        <w:ind w:left="99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3.嵌体与部分冠。</w:t>
      </w:r>
    </w:p>
    <w:p>
      <w:pPr>
        <w:pStyle w:val="8"/>
        <w:spacing w:before="31" w:beforeLines="10" w:after="31" w:afterLines="10" w:line="360" w:lineRule="auto"/>
        <w:ind w:left="99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4.桩冠、核桩冠、铸造金属全冠，烤瓷熔附金属全冠，瓷全冠，固定桥，可摘局部义齿，全口义齿。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2）覆盖义齿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1.覆盖义齿的概念与分类。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2.覆盖义齿的生理学基础。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3.覆盖义齿的优缺点。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4.覆盖基牙的选择及设计。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3）附着体义齿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1.附着体的分类。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2.附着体义齿的组成。</w:t>
      </w:r>
    </w:p>
    <w:p>
      <w:pPr>
        <w:pStyle w:val="8"/>
        <w:spacing w:before="31" w:beforeLines="10" w:after="31" w:afterLines="10" w:line="360" w:lineRule="auto"/>
        <w:ind w:left="1050" w:leftChars="50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3.附着体的适应症。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4）圆锥形套筒冠义齿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5）种植义齿的概念、优点和种类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6）上部结构与基桩的连接颌面缺损修复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7）牙合与咬合病的修复治疗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8）CAD/</w:t>
      </w:r>
      <w:r>
        <w:rPr>
          <w:rFonts w:ascii="Times New Roman" w:hAnsi="Times New Roman" w:eastAsia="宋体" w:cs="Times New Roman"/>
          <w:szCs w:val="21"/>
        </w:rPr>
        <w:t>CAM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口腔颌面外科学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1.口腔颌面外科临床检查。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2.口腔颌面外科麻醉、镇痛及重症监护。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3.牙及牙槽外科。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4.种植外科。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5.口腔颌面部感染。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6.口腔颌面部损伤。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7.口腔颌面部肿瘤。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8.唾液腺疾病。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9.颞下颌关节疾病。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10.颌面部神经疾患。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11.先天性唇、面裂和腭裂。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12.牙颌面畸形。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13.口腔颌面部后天畸形和缺损。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口腔种植学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口腔种植的生物学基础。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口腔种植治疗计划。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牙种植外科技术。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美学区的牙种植。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美学区的牙种植。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种植义齿修复。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种植义齿制作技术。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牙种植的骨增量技术。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口腔种植治疗的并发症及处理。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种植义齿的维护。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数字化口腔种植技术。</w:t>
      </w:r>
    </w:p>
    <w:p>
      <w:pPr>
        <w:pStyle w:val="8"/>
        <w:numPr>
          <w:ilvl w:val="0"/>
          <w:numId w:val="7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种植支抗植入技术。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牙体牙髓病学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1.龋病的概念，龋病病因和发病过程，龋病临床特征、诊断和治疗。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2.牙体硬组织非龋性疾病。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3.牙髓及根尖周组织生理学特点。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4.牙髓病和根尖周病病因和发病机制，检查和诊断方法。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5.牙髓病的分类和临床表现，根尖周病的临床表现和诊断。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6.活髓保存治疗，感染牙髓的治疗方法，根管治疗术。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口腔黏膜病学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各种口腔黏膜疾病的病因、发病机理、临床表现、诊断、鉴别诊断、治疗原则。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儿童口腔医学</w:t>
      </w:r>
    </w:p>
    <w:p>
      <w:pPr>
        <w:pStyle w:val="8"/>
        <w:numPr>
          <w:ilvl w:val="0"/>
          <w:numId w:val="8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儿童龋病。</w:t>
      </w:r>
    </w:p>
    <w:p>
      <w:pPr>
        <w:pStyle w:val="8"/>
        <w:numPr>
          <w:ilvl w:val="0"/>
          <w:numId w:val="8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儿童牙髓炎和根尖周炎。</w:t>
      </w:r>
    </w:p>
    <w:p>
      <w:pPr>
        <w:pStyle w:val="8"/>
        <w:numPr>
          <w:ilvl w:val="0"/>
          <w:numId w:val="8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儿童牙外伤。</w:t>
      </w:r>
    </w:p>
    <w:p>
      <w:pPr>
        <w:pStyle w:val="8"/>
        <w:numPr>
          <w:ilvl w:val="0"/>
          <w:numId w:val="8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儿童牙周组织疾病及口腔粘膜病。</w:t>
      </w:r>
    </w:p>
    <w:p>
      <w:pPr>
        <w:pStyle w:val="8"/>
        <w:numPr>
          <w:ilvl w:val="0"/>
          <w:numId w:val="8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咬合诱导。</w:t>
      </w:r>
    </w:p>
    <w:p>
      <w:pPr>
        <w:pStyle w:val="8"/>
        <w:numPr>
          <w:ilvl w:val="0"/>
          <w:numId w:val="8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儿童口腔外科治疗。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口腔正畸学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1.错牙合畸形的临床表现。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2.错牙合畸形矫治的标准目标。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3.颅面部生长发育的研究方法。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4.出生后颅面部生长发育的情况。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5.上、下颌骨的生长发育情况。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6.建牙合的动力平衡。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7.错牙合畸形与遗传的关系。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8.毛燮均分类法。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9.错牙合畸形的检查诊断。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10.正畸矫治过程中的组织变化。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11.支抗在正畸治疗中的意义。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12.口内、口外矫形力。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13.成年人与青少年正畸治疗的不同。</w:t>
      </w:r>
    </w:p>
    <w:p>
      <w:pPr>
        <w:pStyle w:val="8"/>
        <w:spacing w:before="31" w:beforeLines="10" w:after="31" w:afterLines="10" w:line="360" w:lineRule="auto"/>
        <w:ind w:left="630" w:firstLine="0" w:firstLineChars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14.牙周病正畸治疗注意事项。</w:t>
      </w:r>
    </w:p>
    <w:p>
      <w:pPr>
        <w:pStyle w:val="8"/>
        <w:numPr>
          <w:ilvl w:val="0"/>
          <w:numId w:val="4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口腔材料学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材料学基础知识。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材料的性能。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银汞合金、水门汀、树脂复合材料的组成、性能及应用。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粘结及粘结材料。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根管充填材料。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印模材料。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模型材料。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义齿高分子材料。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口腔修复金属材料、陶瓷材料。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铸造包埋材料。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口腔植入材料。</w:t>
      </w:r>
    </w:p>
    <w:p>
      <w:pPr>
        <w:pStyle w:val="8"/>
        <w:numPr>
          <w:ilvl w:val="0"/>
          <w:numId w:val="9"/>
        </w:numPr>
        <w:spacing w:before="31" w:beforeLines="10" w:after="31" w:afterLines="10" w:line="360" w:lineRule="auto"/>
        <w:ind w:firstLine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口腔其他材料。</w:t>
      </w:r>
    </w:p>
    <w:p>
      <w:pPr>
        <w:spacing w:before="31" w:beforeLines="10" w:after="31" w:afterLines="10"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before="31" w:beforeLines="10" w:after="31" w:afterLines="10"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before="31" w:beforeLines="10" w:after="31" w:afterLines="10"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before="31" w:beforeLines="10" w:after="31" w:afterLines="10" w:line="360" w:lineRule="auto"/>
        <w:rPr>
          <w:rFonts w:ascii="Times New Roman" w:hAnsi="Times New Roman" w:eastAsia="宋体" w:cs="Times New Roman"/>
          <w:szCs w:val="21"/>
        </w:rPr>
      </w:pPr>
    </w:p>
    <w:p>
      <w:pPr>
        <w:spacing w:before="31" w:beforeLines="10" w:after="31" w:afterLines="10" w:line="360" w:lineRule="auto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参考教材或主要参考书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</w:p>
    <w:p>
      <w:pPr>
        <w:pStyle w:val="9"/>
      </w:pPr>
      <w:r>
        <w:rPr>
          <w:rFonts w:hint="eastAsia"/>
        </w:rPr>
        <w:t>1、《口腔材料学》</w:t>
      </w:r>
      <w:r>
        <w:t>/赵信义，人民卫生出版社，2020年5月第6版</w:t>
      </w:r>
    </w:p>
    <w:p>
      <w:pPr>
        <w:pStyle w:val="9"/>
      </w:pPr>
      <w:r>
        <w:t>2</w:t>
      </w:r>
      <w:r>
        <w:rPr>
          <w:rFonts w:hint="eastAsia"/>
        </w:rPr>
        <w:t>、《儿童口腔医学》</w:t>
      </w:r>
      <w:r>
        <w:t>/葛立宏，人民卫生出版社，2020年5月第5版</w:t>
      </w:r>
    </w:p>
    <w:p>
      <w:pPr>
        <w:pStyle w:val="9"/>
      </w:pPr>
      <w:r>
        <w:rPr>
          <w:rFonts w:hint="eastAsia"/>
        </w:rPr>
        <w:t>3、《口腔修复学》</w:t>
      </w:r>
      <w:r>
        <w:t>/赵铱民，人民卫生出版社，2020年8月第8版</w:t>
      </w:r>
    </w:p>
    <w:p>
      <w:pPr>
        <w:pStyle w:val="9"/>
      </w:pPr>
      <w:r>
        <w:rPr>
          <w:rFonts w:hint="eastAsia"/>
        </w:rPr>
        <w:t>4、《口腔正畸学》</w:t>
      </w:r>
      <w:r>
        <w:t>/赵志河，人民卫生出版社，2020年6月第7版</w:t>
      </w:r>
    </w:p>
    <w:p>
      <w:pPr>
        <w:pStyle w:val="9"/>
      </w:pPr>
      <w:r>
        <w:rPr>
          <w:rFonts w:hint="eastAsia"/>
        </w:rPr>
        <w:t>5、《口腔生物学》</w:t>
      </w:r>
      <w:r>
        <w:t>/边专，人民卫生出版社，2020年6月第5版</w:t>
      </w:r>
    </w:p>
    <w:p>
      <w:pPr>
        <w:pStyle w:val="9"/>
      </w:pPr>
      <w:r>
        <w:rPr>
          <w:rFonts w:hint="eastAsia"/>
        </w:rPr>
        <w:t>6、《口腔种植学》</w:t>
      </w:r>
      <w:r>
        <w:t>/宫苹，人民卫生出版社，2020年7月第1版</w:t>
      </w:r>
    </w:p>
    <w:p>
      <w:pPr>
        <w:pStyle w:val="9"/>
      </w:pPr>
      <w:r>
        <w:rPr>
          <w:rFonts w:hint="eastAsia"/>
        </w:rPr>
        <w:t>7、《口腔组织病理学》</w:t>
      </w:r>
      <w:r>
        <w:t>/高岩，人民卫生出版社，2020年8月第8版</w:t>
      </w:r>
    </w:p>
    <w:p>
      <w:pPr>
        <w:pStyle w:val="9"/>
      </w:pPr>
      <w:r>
        <w:rPr>
          <w:rFonts w:hint="eastAsia"/>
        </w:rPr>
        <w:t>8、《口腔解剖生理学》</w:t>
      </w:r>
      <w:r>
        <w:t>/何三纲、于海洋，人民卫生出版社，2020年8月第8版</w:t>
      </w:r>
    </w:p>
    <w:p>
      <w:pPr>
        <w:pStyle w:val="9"/>
      </w:pPr>
      <w:r>
        <w:rPr>
          <w:rFonts w:hint="eastAsia"/>
        </w:rPr>
        <w:t>9、《口腔黏膜病学》</w:t>
      </w:r>
      <w:r>
        <w:t>/陈谦明，人民卫生出版社，2020年8月第5版</w:t>
      </w:r>
    </w:p>
    <w:p>
      <w:pPr>
        <w:pStyle w:val="9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、《牙体牙髓病学》</w:t>
      </w:r>
      <w:r>
        <w:t>/周学东，人民卫生出版社，2020年7月第5版</w:t>
      </w:r>
    </w:p>
    <w:p>
      <w:pPr>
        <w:pStyle w:val="9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、《牙周病学》</w:t>
      </w:r>
      <w:r>
        <w:t>/孟焕新，人民卫生出版社，2020年8月第5版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4F51"/>
    <w:multiLevelType w:val="multilevel"/>
    <w:tmpl w:val="0A894F51"/>
    <w:lvl w:ilvl="0" w:tentative="0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0E17448A"/>
    <w:multiLevelType w:val="multilevel"/>
    <w:tmpl w:val="0E17448A"/>
    <w:lvl w:ilvl="0" w:tentative="0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370F77F0"/>
    <w:multiLevelType w:val="multilevel"/>
    <w:tmpl w:val="370F77F0"/>
    <w:lvl w:ilvl="0" w:tentative="0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3ADB1B21"/>
    <w:multiLevelType w:val="multilevel"/>
    <w:tmpl w:val="3ADB1B21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430D7CC8"/>
    <w:multiLevelType w:val="multilevel"/>
    <w:tmpl w:val="430D7CC8"/>
    <w:lvl w:ilvl="0" w:tentative="0">
      <w:start w:val="1"/>
      <w:numFmt w:val="chineseCountingThousand"/>
      <w:lvlText w:val="(%1)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907FBF9"/>
    <w:multiLevelType w:val="singleLevel"/>
    <w:tmpl w:val="5907FBF9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5907FC4F"/>
    <w:multiLevelType w:val="singleLevel"/>
    <w:tmpl w:val="5907FC4F"/>
    <w:lvl w:ilvl="0" w:tentative="0">
      <w:start w:val="1"/>
      <w:numFmt w:val="chineseCounting"/>
      <w:suff w:val="nothing"/>
      <w:lvlText w:val="（%1）"/>
      <w:lvlJc w:val="left"/>
    </w:lvl>
  </w:abstractNum>
  <w:abstractNum w:abstractNumId="7">
    <w:nsid w:val="5907FE2A"/>
    <w:multiLevelType w:val="singleLevel"/>
    <w:tmpl w:val="5907FE2A"/>
    <w:lvl w:ilvl="0" w:tentative="0">
      <w:start w:val="3"/>
      <w:numFmt w:val="chineseCounting"/>
      <w:suff w:val="nothing"/>
      <w:lvlText w:val="%1、"/>
      <w:lvlJc w:val="left"/>
    </w:lvl>
  </w:abstractNum>
  <w:abstractNum w:abstractNumId="8">
    <w:nsid w:val="7657437B"/>
    <w:multiLevelType w:val="multilevel"/>
    <w:tmpl w:val="7657437B"/>
    <w:lvl w:ilvl="0" w:tentative="0">
      <w:start w:val="1"/>
      <w:numFmt w:val="decimal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kNjBjYzZjYTQ4NDcxYTQ2MTgwYmM4N2U1MjMyMTAifQ=="/>
  </w:docVars>
  <w:rsids>
    <w:rsidRoot w:val="004E5340"/>
    <w:rsid w:val="00065D14"/>
    <w:rsid w:val="00085B99"/>
    <w:rsid w:val="0013060B"/>
    <w:rsid w:val="001A6003"/>
    <w:rsid w:val="003845F3"/>
    <w:rsid w:val="003B6272"/>
    <w:rsid w:val="004D0160"/>
    <w:rsid w:val="004E5340"/>
    <w:rsid w:val="005046F6"/>
    <w:rsid w:val="00600E2B"/>
    <w:rsid w:val="006304CE"/>
    <w:rsid w:val="0065545E"/>
    <w:rsid w:val="00691231"/>
    <w:rsid w:val="00722DA0"/>
    <w:rsid w:val="007E0C51"/>
    <w:rsid w:val="0096590F"/>
    <w:rsid w:val="00A549C8"/>
    <w:rsid w:val="00BC48B0"/>
    <w:rsid w:val="00C07E68"/>
    <w:rsid w:val="00C41863"/>
    <w:rsid w:val="00C75BFA"/>
    <w:rsid w:val="00D46591"/>
    <w:rsid w:val="00DB13E5"/>
    <w:rsid w:val="00DE5464"/>
    <w:rsid w:val="00F5280D"/>
    <w:rsid w:val="00FA7C8F"/>
    <w:rsid w:val="3BA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3079</Words>
  <Characters>3274</Characters>
  <Lines>24</Lines>
  <Paragraphs>6</Paragraphs>
  <TotalTime>89</TotalTime>
  <ScaleCrop>false</ScaleCrop>
  <LinksUpToDate>false</LinksUpToDate>
  <CharactersWithSpaces>3295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2022-08-29T09:00:00Z</dcterms:created>
  <dc:creator>沈 喆</dc:creator>
  <cp:lastModifiedBy>admin</cp:lastModifiedBy>
  <dcterms:modified xsi:type="dcterms:W3CDTF">2022-09-08T06:41:59Z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D9304B28E86F402C9B9F65D236EA7F87</vt:lpwstr>
  </property>
</Properties>
</file>