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宋体" w:eastAsia="黑体" w:hAnsi="黑体"/>
          <w:b/>
          <w:bCs/>
          <w:color w:val="000000"/>
          <w:kern w:val="0"/>
          <w:sz w:val="28"/>
          <w:szCs w:val="28"/>
        </w:rPr>
      </w:pPr>
      <w:r>
        <w:rPr>
          <w:rFonts w:ascii="黑体" w:cs="宋体" w:eastAsia="黑体" w:hAnsi="黑体" w:hint="eastAsia"/>
          <w:b/>
          <w:bCs/>
          <w:color w:val="000000"/>
          <w:kern w:val="0"/>
          <w:sz w:val="28"/>
          <w:szCs w:val="28"/>
        </w:rPr>
        <w:t>中国核动力研究设计院</w:t>
      </w:r>
    </w:p>
    <w:p>
      <w:pPr>
        <w:pStyle w:val="style0"/>
        <w:spacing w:after="156" w:afterLines="50"/>
        <w:jc w:val="center"/>
        <w:rPr>
          <w:rFonts w:ascii="黑体" w:cs="宋体" w:eastAsia="黑体" w:hAnsi="黑体"/>
          <w:b/>
          <w:bCs/>
          <w:color w:val="000000"/>
          <w:kern w:val="0"/>
          <w:sz w:val="28"/>
          <w:szCs w:val="28"/>
        </w:rPr>
      </w:pPr>
      <w:r>
        <w:rPr>
          <w:rFonts w:ascii="黑体" w:cs="宋体" w:eastAsia="黑体" w:hAnsi="黑体" w:hint="eastAsia"/>
          <w:b/>
          <w:bCs/>
          <w:color w:val="000000"/>
          <w:kern w:val="0"/>
          <w:sz w:val="28"/>
          <w:szCs w:val="28"/>
        </w:rPr>
        <w:t>2023</w:t>
      </w:r>
      <w:r>
        <w:rPr>
          <w:rFonts w:ascii="黑体" w:cs="宋体" w:eastAsia="黑体" w:hAnsi="黑体" w:hint="eastAsia"/>
          <w:b/>
          <w:bCs/>
          <w:color w:val="000000"/>
          <w:kern w:val="0"/>
          <w:sz w:val="28"/>
          <w:szCs w:val="28"/>
        </w:rPr>
        <w:t>年硕士研究生招生专业目录及招生说明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939"/>
        <w:gridCol w:w="915"/>
        <w:gridCol w:w="915"/>
        <w:gridCol w:w="3020"/>
        <w:gridCol w:w="1066"/>
      </w:tblGrid>
      <w:tr>
        <w:trPr>
          <w:trHeight w:val="1020" w:hRule="atLeast"/>
        </w:trPr>
        <w:tc>
          <w:tcPr>
            <w:tcW w:w="1998" w:type="pct"/>
            <w:tcBorders/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1"/>
              </w:rPr>
              <w:t>专业代码、名称及研究方向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1"/>
              </w:rPr>
              <w:t>拟招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1"/>
              </w:rPr>
              <w:t>人数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1"/>
              </w:rPr>
              <w:t>拟招</w:t>
            </w:r>
          </w:p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1"/>
              </w:rPr>
              <w:t>推免</w:t>
            </w:r>
          </w:p>
        </w:tc>
        <w:tc>
          <w:tcPr>
            <w:tcW w:w="1532" w:type="pct"/>
            <w:tcBorders/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1"/>
              </w:rPr>
              <w:t>考试科目</w:t>
            </w:r>
          </w:p>
        </w:tc>
        <w:tc>
          <w:tcPr>
            <w:tcW w:w="541" w:type="pct"/>
            <w:tcBorders/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1"/>
              </w:rPr>
              <w:t>备注</w:t>
            </w:r>
          </w:p>
        </w:tc>
      </w:tr>
      <w:tr>
        <w:tblPrEx/>
        <w:trPr>
          <w:trHeight w:val="2438" w:hRule="atLeast"/>
        </w:trPr>
        <w:tc>
          <w:tcPr>
            <w:tcW w:w="1998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082701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核能科学与工程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532" w:type="pct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①101 思想政治理论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②201 英语一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③301 数学一</w:t>
            </w:r>
          </w:p>
          <w:p>
            <w:pPr>
              <w:pStyle w:val="style0"/>
              <w:spacing w:lineRule="auto" w: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④801 普通物理</w:t>
            </w:r>
          </w:p>
        </w:tc>
        <w:tc>
          <w:tcPr>
            <w:tcW w:w="541" w:type="pct"/>
            <w:tcBorders/>
            <w:vAlign w:val="center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>
        <w:tblPrEx/>
        <w:trPr>
          <w:trHeight w:val="2438" w:hRule="atLeast"/>
        </w:trPr>
        <w:tc>
          <w:tcPr>
            <w:tcW w:w="1998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082702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核燃料循环与材料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532" w:type="pct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①101 思想政治理论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②201 英语一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③301 数学一</w:t>
            </w:r>
          </w:p>
          <w:p>
            <w:pPr>
              <w:pStyle w:val="style0"/>
              <w:spacing w:lineRule="auto" w: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④801 普通物理</w:t>
            </w:r>
          </w:p>
        </w:tc>
        <w:tc>
          <w:tcPr>
            <w:tcW w:w="541" w:type="pct"/>
            <w:tcBorders/>
            <w:vAlign w:val="center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>
        <w:tblPrEx/>
        <w:trPr>
          <w:trHeight w:val="2438" w:hRule="atLeast"/>
        </w:trPr>
        <w:tc>
          <w:tcPr>
            <w:tcW w:w="1998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082703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核技术及应用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32" w:type="pct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①101 思想政治理论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②201 英语一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③301 数学一</w:t>
            </w:r>
          </w:p>
          <w:p>
            <w:pPr>
              <w:pStyle w:val="style0"/>
              <w:spacing w:lineRule="auto" w: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④801 普通物理</w:t>
            </w:r>
          </w:p>
        </w:tc>
        <w:tc>
          <w:tcPr>
            <w:tcW w:w="541" w:type="pct"/>
            <w:tcBorders/>
            <w:vAlign w:val="center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>
        <w:tblPrEx/>
        <w:trPr>
          <w:trHeight w:val="2438" w:hRule="atLeast"/>
        </w:trPr>
        <w:tc>
          <w:tcPr>
            <w:tcW w:w="1998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082704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辐射防护及环境保护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64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32" w:type="pct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①101 思想政治理论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②201 英语一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③301 数学一</w:t>
            </w:r>
          </w:p>
          <w:p>
            <w:pPr>
              <w:pStyle w:val="style0"/>
              <w:spacing w:lineRule="auto" w: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1"/>
              </w:rPr>
              <w:t>④801 普通物理</w:t>
            </w:r>
          </w:p>
        </w:tc>
        <w:tc>
          <w:tcPr>
            <w:tcW w:w="541" w:type="pct"/>
            <w:tcBorders/>
            <w:vAlign w:val="center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>
      <w:pPr>
        <w:pStyle w:val="style0"/>
        <w:rPr/>
      </w:pPr>
      <w:r>
        <w:br w:type="page"/>
      </w:r>
    </w:p>
    <w:p>
      <w:pPr>
        <w:pStyle w:val="style0"/>
        <w:ind w:left="-424" w:leftChars="-202"/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招 生 说 明</w:t>
      </w:r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一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．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中国核动力研究设计院隶属于中国核工业集团公司，是我国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集反应堆工程研究、设计、试验、运行和小批量生产为一体的大型综合性科研基地。自1965年建院以来，已经形成包括核动力工程设计、核蒸汽供应系统设备集成供应、反应堆运行和应用研究、反应堆工程试验研究、核燃料和材料研究、同位素生产和核技术服务与应用研究等完整的科研生产体系。</w:t>
      </w:r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二．欢迎报考我院硕士研究生，考生应具有大学本科学历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，获本科毕业证书及学位证书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。</w:t>
      </w:r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三．品德良好，学风端正，遵纪守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法，无任何违法违纪和作弊记录。</w:t>
      </w:r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四．身体健康，符合《普通高等学校招生体检工作指导意见》的体检标准，我院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无培养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视力残疾考生的导师，不具备招收视力残疾考生的条件，不接受视力色盲的考生报考。</w:t>
      </w:r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color w:val="000000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五．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2023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年计划招收学术型硕士研究生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56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名，其中“核能科学与工程”专业招收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30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名（接收推荐免试研究生不超过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15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名），“核燃料循环与材料”专业招收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19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名（接收推荐免试研究生不超过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9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名）；“核技术及应用”专业招收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4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名（接收推荐免试研究生不超过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名）；“辐射防护及环境保护”专业招收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3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名（接收推荐免试研究生不超过1名）。如接收推荐免试研究生指标未满，剩余指标作为统考招生指标。</w:t>
      </w:r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六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．清华大学中核定向班本科生报考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类别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为定向招生，其他生源均为非定向招生。</w:t>
      </w:r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七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.非定向研究生报考时，“报考类别”填写“非定向”。非定向研究生毕业后可经过双选后留院工作或自主择业</w:t>
      </w:r>
      <w:r>
        <w:rPr>
          <w:rFonts w:ascii="宋体" w:cs="宋体" w:hAnsi="宋体" w:hint="eastAsia"/>
          <w:color w:val="000000"/>
          <w:kern w:val="0"/>
          <w:sz w:val="24"/>
          <w:szCs w:val="24"/>
          <w:lang w:eastAsia="zh-CN"/>
        </w:rPr>
        <w:t>（其中与院签订劳动合同的员工按照合同约定执行）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八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．定向研究生报考时，“报考类别”填写“定向”，定向单位：中国核动力研究设计院。定向生在入学前签订《硕士研究生培养协议》，毕业后留院工作。</w:t>
      </w:r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九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.我院研究生培养不收取学费，免费提供住宿并按月发放生活补助。</w:t>
      </w:r>
    </w:p>
    <w:p>
      <w:pPr>
        <w:pStyle w:val="style0"/>
        <w:widowControl/>
        <w:spacing w:lineRule="auto" w:line="360"/>
        <w:ind w:firstLine="566" w:firstLineChars="236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十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．研究生招生及培养见院网：</w:t>
      </w:r>
      <w:r>
        <w:rPr>
          <w:rFonts w:ascii="宋体" w:cs="宋体" w:eastAsia="宋体" w:hAnsi="宋体" w:hint="eastAsia"/>
          <w:color w:val="0000ff"/>
          <w:kern w:val="0"/>
          <w:sz w:val="24"/>
          <w:szCs w:val="24"/>
        </w:rPr>
        <w:t>www.npic.ac.cn</w:t>
      </w:r>
    </w:p>
    <w:p>
      <w:pPr>
        <w:pStyle w:val="style0"/>
        <w:spacing w:lineRule="auto" w:line="360"/>
        <w:ind w:firstLine="566" w:firstLineChars="236"/>
        <w:rPr>
          <w:rFonts w:ascii="宋体" w:cs="宋体" w:eastAsia="宋体" w:hAnsi="宋体"/>
          <w:color w:val="000000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咨询电话：028-85903956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028-85903924</w:t>
      </w:r>
    </w:p>
    <w:p>
      <w:pPr>
        <w:pStyle w:val="style0"/>
        <w:rPr>
          <w:rFonts w:ascii="宋体" w:cs="宋体" w:eastAsia="宋体" w:hAnsi="宋体"/>
          <w:color w:val="000000"/>
          <w:kern w:val="0"/>
          <w:sz w:val="24"/>
          <w:szCs w:val="24"/>
        </w:rPr>
      </w:pPr>
      <w:r>
        <w:rPr>
          <w:rFonts w:ascii="宋体" w:cs="宋体" w:eastAsia="宋体" w:hAnsi="宋体"/>
          <w:color w:val="000000"/>
          <w:kern w:val="0"/>
          <w:sz w:val="24"/>
          <w:szCs w:val="24"/>
        </w:rPr>
        <w:br w:type="page"/>
      </w:r>
    </w:p>
    <w:p>
      <w:pPr>
        <w:pStyle w:val="style0"/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适合报考的本科专业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76"/>
        <w:gridCol w:w="7475"/>
      </w:tblGrid>
      <w:tr>
        <w:trPr>
          <w:trHeight w:val="680" w:hRule="atLeast"/>
        </w:trPr>
        <w:tc>
          <w:tcPr>
            <w:tcW w:w="2376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7475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本科对应的主要专业</w:t>
            </w:r>
          </w:p>
        </w:tc>
      </w:tr>
      <w:tr>
        <w:tblPrEx/>
        <w:trPr>
          <w:trHeight w:val="3458" w:hRule="atLeast"/>
        </w:trPr>
        <w:tc>
          <w:tcPr>
            <w:tcW w:w="2376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082701</w:t>
            </w:r>
          </w:p>
          <w:p>
            <w:pPr>
              <w:pStyle w:val="style0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核能科学与工程</w:t>
            </w:r>
          </w:p>
        </w:tc>
        <w:tc>
          <w:tcPr>
            <w:tcW w:w="7475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rPr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核工程与核技术、热能与动力工程、工程热物理、应用物理学、数学与应用数学、数理基础科学、测控技术与仪器、电子信息技术及仪器、能源工程及自动化、能源动力系统及自动化、电气工程及其自动化、自动化、电子信息工程、计算机科学与技术、电子科学与技术、电气工程与自动化、软件工程、计算机软件、机械设计制造及其自动化、机械工程及自动化、过程装备与控制工程、理论与应用力学、工程力学、工程结构分析、机械设计制造；其它有关传热、热动、物理、机械、测控、计算机、力学等相关专业。</w:t>
            </w:r>
          </w:p>
        </w:tc>
      </w:tr>
      <w:tr>
        <w:tblPrEx/>
        <w:trPr>
          <w:trHeight w:val="3458" w:hRule="atLeast"/>
        </w:trPr>
        <w:tc>
          <w:tcPr>
            <w:tcW w:w="2376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082702</w:t>
            </w:r>
          </w:p>
          <w:p>
            <w:pPr>
              <w:pStyle w:val="style0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核燃料循环与材料</w:t>
            </w:r>
          </w:p>
        </w:tc>
        <w:tc>
          <w:tcPr>
            <w:tcW w:w="7475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rPr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核工程与核技术、核燃料循环与材料、材料物理与化学、粉末冶金、冶金工程、材料学、金属材料工程、材料科学与工程、无机非金属材料工程、复合材料与工程、高分子材料、纳米材料与技术、焊接技术与工程、材料加工工程、粉体材料科学与工程、材料成型及控制工程、材料热处理、表面工程、核化工与核燃料工程、放射化学、应用化学、分析化学、化学工程与工艺、材料化学、化学工程与机械、过程装备与控制工程、材料物理、无损伤检测技术、测控技术与仪器、机械设计制造及其自动化、机械电子工程；其它有关材料、焊接、冶金、化学、化工、材料、机械、焊接等相关专业。</w:t>
            </w:r>
          </w:p>
        </w:tc>
      </w:tr>
      <w:tr>
        <w:tblPrEx/>
        <w:trPr>
          <w:trHeight w:val="1474" w:hRule="atLeast"/>
        </w:trPr>
        <w:tc>
          <w:tcPr>
            <w:tcW w:w="2376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082703</w:t>
            </w:r>
          </w:p>
          <w:p>
            <w:pPr>
              <w:pStyle w:val="style0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核技术及应用</w:t>
            </w:r>
          </w:p>
        </w:tc>
        <w:tc>
          <w:tcPr>
            <w:tcW w:w="7475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rPr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放射化学、化学、应用化学、化学生物学、生物医学工程、制药工程、化工与制药、其它有关化学、化工等相关专业。</w:t>
            </w:r>
          </w:p>
        </w:tc>
      </w:tr>
      <w:tr>
        <w:tblPrEx/>
        <w:trPr>
          <w:trHeight w:val="1474" w:hRule="atLeast"/>
        </w:trPr>
        <w:tc>
          <w:tcPr>
            <w:tcW w:w="2376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082704</w:t>
            </w:r>
          </w:p>
          <w:p>
            <w:pPr>
              <w:pStyle w:val="style0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辐射防护及环境保护</w:t>
            </w:r>
          </w:p>
        </w:tc>
        <w:tc>
          <w:tcPr>
            <w:tcW w:w="7475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rPr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核工程与核技术、核技术、辐射防护与环境工程、其他有关核技术专业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18" w:right="849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Words>1538</Words>
  <Pages>3</Pages>
  <Characters>1661</Characters>
  <Application>WPS Office</Application>
  <DocSecurity>0</DocSecurity>
  <Paragraphs>85</Paragraphs>
  <ScaleCrop>false</ScaleCrop>
  <LinksUpToDate>false</LinksUpToDate>
  <CharactersWithSpaces>1683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2022-09-08T09:53:00Z</dcterms:created>
  <dc:creator>Admin</dc:creator>
  <lastModifiedBy>M2102K1AC</lastModifiedBy>
  <dcterms:modified xsi:type="dcterms:W3CDTF">2022-09-09T04:13:49Z</dcterms:modified>
  <revision>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ceb693c75346480dbcf13b44b334ed91</vt:lpwstr>
  </property>
</Properties>
</file>