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E8812" w14:textId="77777777" w:rsidR="002E271C" w:rsidRDefault="001B3FEF">
      <w:pPr>
        <w:spacing w:line="500" w:lineRule="exact"/>
        <w:jc w:val="center"/>
        <w:rPr>
          <w:rFonts w:ascii="方正书宋简体" w:eastAsia="方正书宋简体"/>
          <w:sz w:val="24"/>
        </w:rPr>
      </w:pPr>
      <w:r>
        <w:rPr>
          <w:rFonts w:ascii="黑体" w:eastAsia="黑体" w:hint="eastAsia"/>
          <w:sz w:val="28"/>
        </w:rPr>
        <w:t>考试科目名称：国际商务专业基础</w:t>
      </w:r>
    </w:p>
    <w:p w14:paraId="4B66D030" w14:textId="77777777" w:rsidR="002E271C" w:rsidRDefault="001B3FEF">
      <w:pPr>
        <w:spacing w:beforeLines="50" w:before="156" w:afterLines="50" w:after="156" w:line="400" w:lineRule="exact"/>
        <w:rPr>
          <w:rFonts w:eastAsia="黑体"/>
          <w:sz w:val="24"/>
          <w:szCs w:val="28"/>
        </w:rPr>
      </w:pPr>
      <w:r>
        <w:rPr>
          <w:rFonts w:eastAsia="黑体" w:hint="eastAsia"/>
          <w:sz w:val="24"/>
          <w:szCs w:val="28"/>
        </w:rPr>
        <w:t>一、考试大纲援引教材</w:t>
      </w:r>
    </w:p>
    <w:p w14:paraId="04518565" w14:textId="77777777" w:rsidR="00F90E81" w:rsidRPr="00F90E81" w:rsidRDefault="00F90E81" w:rsidP="00F90E81">
      <w:pPr>
        <w:spacing w:line="400" w:lineRule="exact"/>
        <w:ind w:firstLineChars="200" w:firstLine="420"/>
        <w:rPr>
          <w:rFonts w:ascii="宋体" w:hAnsi="宋体" w:hint="eastAsia"/>
          <w:szCs w:val="21"/>
        </w:rPr>
      </w:pPr>
      <w:r w:rsidRPr="00F90E81">
        <w:rPr>
          <w:rFonts w:ascii="宋体" w:hAnsi="宋体" w:hint="eastAsia"/>
          <w:szCs w:val="21"/>
        </w:rPr>
        <w:t>《国际商务》第三版 中国人民大学出版社 韩玉军 2020年</w:t>
      </w:r>
    </w:p>
    <w:p w14:paraId="4677375A" w14:textId="77777777" w:rsidR="00F90E81" w:rsidRPr="00F90E81" w:rsidRDefault="00F90E81" w:rsidP="00F90E81">
      <w:pPr>
        <w:spacing w:line="400" w:lineRule="exact"/>
        <w:ind w:firstLineChars="200" w:firstLine="420"/>
        <w:rPr>
          <w:rFonts w:ascii="宋体" w:hAnsi="宋体" w:hint="eastAsia"/>
          <w:szCs w:val="21"/>
        </w:rPr>
      </w:pPr>
      <w:r w:rsidRPr="00F90E81">
        <w:rPr>
          <w:rFonts w:ascii="宋体" w:hAnsi="宋体" w:hint="eastAsia"/>
          <w:szCs w:val="21"/>
        </w:rPr>
        <w:t>《国际贸易理论与政策》第一版 清华大学出版社 张海波、李汉君、陈忠、霍杰 2017年</w:t>
      </w:r>
    </w:p>
    <w:p w14:paraId="61EF433C" w14:textId="77777777" w:rsidR="00F90E81" w:rsidRPr="00F90E81" w:rsidRDefault="00F90E81" w:rsidP="00F90E81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F90E81">
        <w:rPr>
          <w:rFonts w:ascii="宋体" w:hAnsi="宋体" w:hint="eastAsia"/>
          <w:szCs w:val="21"/>
        </w:rPr>
        <w:t>《国际金融学》第一版 北京大学出版社 罗丹程 2021年</w:t>
      </w:r>
    </w:p>
    <w:p w14:paraId="6EDE81A9" w14:textId="3CCB6505" w:rsidR="002E271C" w:rsidRDefault="001B3FEF" w:rsidP="00F90E81">
      <w:pPr>
        <w:spacing w:beforeLines="50" w:before="156" w:afterLines="50" w:after="156" w:line="400" w:lineRule="exact"/>
        <w:rPr>
          <w:rFonts w:eastAsia="黑体"/>
          <w:sz w:val="24"/>
          <w:szCs w:val="28"/>
        </w:rPr>
      </w:pPr>
      <w:r>
        <w:rPr>
          <w:rFonts w:eastAsia="黑体" w:hint="eastAsia"/>
          <w:sz w:val="24"/>
          <w:szCs w:val="28"/>
        </w:rPr>
        <w:t>二、考试要求</w:t>
      </w:r>
    </w:p>
    <w:p w14:paraId="692132FE" w14:textId="77777777" w:rsidR="002E271C" w:rsidRDefault="001B3FEF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要求考生掌握国际贸易理论与政策、国际直接投资与跨国公司、国际金融等国际商务相关的基本概念、基本理论、基础知识，具备综合运用、分析和解决国际商务现实问题的能力。</w:t>
      </w:r>
    </w:p>
    <w:p w14:paraId="39AE2B31" w14:textId="77777777" w:rsidR="002E271C" w:rsidRDefault="001B3FEF">
      <w:pPr>
        <w:spacing w:beforeLines="50" w:before="156" w:afterLines="50" w:after="156" w:line="400" w:lineRule="exact"/>
        <w:rPr>
          <w:rFonts w:eastAsia="黑体"/>
          <w:sz w:val="24"/>
          <w:szCs w:val="28"/>
        </w:rPr>
      </w:pPr>
      <w:r>
        <w:rPr>
          <w:rFonts w:eastAsia="黑体" w:hint="eastAsia"/>
          <w:sz w:val="24"/>
          <w:szCs w:val="28"/>
        </w:rPr>
        <w:t>三、考试内容</w:t>
      </w:r>
    </w:p>
    <w:p w14:paraId="69BBC65F" w14:textId="77777777" w:rsidR="002E271C" w:rsidRDefault="001B3FEF">
      <w:pPr>
        <w:spacing w:beforeLines="50" w:before="156" w:afterLines="50" w:after="156" w:line="400" w:lineRule="exact"/>
        <w:ind w:firstLineChars="200" w:firstLine="422"/>
        <w:rPr>
          <w:b/>
          <w:bCs/>
          <w:szCs w:val="21"/>
        </w:rPr>
      </w:pPr>
      <w:r>
        <w:rPr>
          <w:b/>
          <w:bCs/>
          <w:szCs w:val="21"/>
        </w:rPr>
        <w:t>第一部分</w:t>
      </w:r>
      <w:r>
        <w:rPr>
          <w:b/>
          <w:bCs/>
          <w:szCs w:val="21"/>
        </w:rPr>
        <w:t xml:space="preserve">  </w:t>
      </w:r>
      <w:r>
        <w:rPr>
          <w:b/>
          <w:bCs/>
          <w:szCs w:val="21"/>
        </w:rPr>
        <w:t>国际贸易理论与政策</w:t>
      </w:r>
      <w:r>
        <w:rPr>
          <w:rFonts w:hint="eastAsia"/>
          <w:b/>
          <w:bCs/>
          <w:szCs w:val="21"/>
        </w:rPr>
        <w:t>（</w:t>
      </w:r>
      <w:r>
        <w:rPr>
          <w:rFonts w:hint="eastAsia"/>
          <w:b/>
          <w:bCs/>
          <w:szCs w:val="21"/>
        </w:rPr>
        <w:t>参考《国际商务》和《国际贸易理论与政策》）</w:t>
      </w:r>
    </w:p>
    <w:p w14:paraId="63B626F7" w14:textId="77777777" w:rsidR="002E271C" w:rsidRDefault="001B3FEF">
      <w:pPr>
        <w:pStyle w:val="a8"/>
        <w:widowControl/>
        <w:numPr>
          <w:ilvl w:val="0"/>
          <w:numId w:val="1"/>
        </w:numPr>
        <w:spacing w:line="400" w:lineRule="exact"/>
        <w:ind w:firstLineChars="0"/>
        <w:rPr>
          <w:b/>
          <w:szCs w:val="21"/>
        </w:rPr>
      </w:pPr>
      <w:r>
        <w:rPr>
          <w:b/>
          <w:szCs w:val="21"/>
        </w:rPr>
        <w:t>国际贸易理论与政策</w:t>
      </w:r>
    </w:p>
    <w:p w14:paraId="5E01C69E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szCs w:val="21"/>
        </w:rPr>
        <w:t>古典国际贸易理论</w:t>
      </w:r>
    </w:p>
    <w:p w14:paraId="052D8307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szCs w:val="21"/>
        </w:rPr>
        <w:t>新古典</w:t>
      </w:r>
      <w:r>
        <w:rPr>
          <w:rFonts w:hint="eastAsia"/>
          <w:szCs w:val="21"/>
        </w:rPr>
        <w:t>国际贸易理论</w:t>
      </w:r>
    </w:p>
    <w:p w14:paraId="3E085F09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rFonts w:hint="eastAsia"/>
          <w:szCs w:val="21"/>
        </w:rPr>
        <w:t>当代国际</w:t>
      </w:r>
      <w:r>
        <w:rPr>
          <w:szCs w:val="21"/>
        </w:rPr>
        <w:t>贸易理论</w:t>
      </w:r>
    </w:p>
    <w:p w14:paraId="6232BEA6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rFonts w:hint="eastAsia"/>
          <w:szCs w:val="21"/>
        </w:rPr>
        <w:t>国际贸易政策及其主要措施</w:t>
      </w:r>
    </w:p>
    <w:p w14:paraId="4FC8D31A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rFonts w:hint="eastAsia"/>
          <w:szCs w:val="21"/>
        </w:rPr>
        <w:t>保护贸易理论</w:t>
      </w:r>
    </w:p>
    <w:p w14:paraId="66575C64" w14:textId="77777777" w:rsidR="002E271C" w:rsidRDefault="001B3FEF">
      <w:pPr>
        <w:pStyle w:val="a8"/>
        <w:widowControl/>
        <w:numPr>
          <w:ilvl w:val="0"/>
          <w:numId w:val="1"/>
        </w:numPr>
        <w:spacing w:line="400" w:lineRule="exact"/>
        <w:ind w:firstLineChars="0"/>
        <w:rPr>
          <w:b/>
          <w:szCs w:val="21"/>
        </w:rPr>
      </w:pPr>
      <w:r>
        <w:rPr>
          <w:b/>
          <w:szCs w:val="21"/>
        </w:rPr>
        <w:t>区域经济一体化与多边贸易体制</w:t>
      </w:r>
    </w:p>
    <w:p w14:paraId="40806143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rFonts w:hint="eastAsia"/>
          <w:szCs w:val="21"/>
        </w:rPr>
        <w:t>区域经济一体化的相关理论</w:t>
      </w:r>
    </w:p>
    <w:p w14:paraId="182027A0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rFonts w:hint="eastAsia"/>
          <w:szCs w:val="21"/>
        </w:rPr>
        <w:t>区域经济一体化组织的发展</w:t>
      </w:r>
    </w:p>
    <w:p w14:paraId="249CE843" w14:textId="77777777" w:rsidR="002E271C" w:rsidRDefault="001B3FEF">
      <w:pPr>
        <w:widowControl/>
        <w:spacing w:line="400" w:lineRule="exact"/>
        <w:ind w:firstLineChars="400" w:firstLine="800"/>
        <w:rPr>
          <w:szCs w:val="21"/>
        </w:rPr>
      </w:pPr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>区域经济一体化对国际贸易的影响</w:t>
      </w:r>
    </w:p>
    <w:p w14:paraId="32872297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rFonts w:hint="eastAsia"/>
          <w:szCs w:val="21"/>
        </w:rPr>
        <w:t>多边贸易体制</w:t>
      </w:r>
    </w:p>
    <w:p w14:paraId="0546C2F1" w14:textId="77777777" w:rsidR="002E271C" w:rsidRDefault="001B3FEF">
      <w:pPr>
        <w:widowControl/>
        <w:spacing w:beforeLines="50" w:before="156" w:afterLines="50" w:after="156" w:line="40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第二部分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 xml:space="preserve"> </w:t>
      </w:r>
      <w:r>
        <w:rPr>
          <w:b/>
          <w:szCs w:val="21"/>
        </w:rPr>
        <w:t>国际直接投资与跨国公司</w:t>
      </w: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参考</w:t>
      </w:r>
      <w:r>
        <w:rPr>
          <w:rFonts w:hint="eastAsia"/>
          <w:b/>
          <w:bCs/>
          <w:szCs w:val="21"/>
        </w:rPr>
        <w:t>《国际商务》）</w:t>
      </w:r>
    </w:p>
    <w:p w14:paraId="06B140FD" w14:textId="77777777" w:rsidR="002E271C" w:rsidRDefault="001B3FEF">
      <w:pPr>
        <w:pStyle w:val="a8"/>
        <w:widowControl/>
        <w:numPr>
          <w:ilvl w:val="0"/>
          <w:numId w:val="2"/>
        </w:numPr>
        <w:spacing w:line="400" w:lineRule="exact"/>
        <w:ind w:firstLineChars="0"/>
        <w:rPr>
          <w:b/>
          <w:bCs/>
          <w:szCs w:val="21"/>
        </w:rPr>
      </w:pPr>
      <w:r>
        <w:rPr>
          <w:b/>
          <w:bCs/>
          <w:szCs w:val="21"/>
        </w:rPr>
        <w:t>国际直接投资与跨国公司理论</w:t>
      </w:r>
    </w:p>
    <w:p w14:paraId="5916EE8B" w14:textId="77777777" w:rsidR="002E271C" w:rsidRDefault="001B3FEF">
      <w:pPr>
        <w:widowControl/>
        <w:spacing w:line="400" w:lineRule="exact"/>
        <w:ind w:firstLineChars="399" w:firstLine="838"/>
        <w:rPr>
          <w:szCs w:val="21"/>
        </w:rPr>
      </w:pPr>
      <w:r>
        <w:rPr>
          <w:rFonts w:hint="eastAsia"/>
          <w:szCs w:val="21"/>
        </w:rPr>
        <w:t>国际直接投资理论</w:t>
      </w:r>
      <w:r>
        <w:rPr>
          <w:rFonts w:hint="eastAsia"/>
          <w:szCs w:val="21"/>
        </w:rPr>
        <w:t xml:space="preserve"> </w:t>
      </w:r>
    </w:p>
    <w:p w14:paraId="5FCA3305" w14:textId="77777777" w:rsidR="002E271C" w:rsidRDefault="001B3FEF">
      <w:pPr>
        <w:widowControl/>
        <w:spacing w:line="400" w:lineRule="exact"/>
        <w:ind w:firstLineChars="399" w:firstLine="838"/>
        <w:rPr>
          <w:szCs w:val="21"/>
        </w:rPr>
      </w:pPr>
      <w:r>
        <w:rPr>
          <w:rFonts w:hint="eastAsia"/>
          <w:szCs w:val="21"/>
        </w:rPr>
        <w:t>国际直接投资与国际贸易关系理论</w:t>
      </w:r>
      <w:r>
        <w:rPr>
          <w:rFonts w:hint="eastAsia"/>
          <w:szCs w:val="21"/>
        </w:rPr>
        <w:t xml:space="preserve"> </w:t>
      </w:r>
    </w:p>
    <w:p w14:paraId="6B142F90" w14:textId="77777777" w:rsidR="002E271C" w:rsidRDefault="001B3FEF">
      <w:pPr>
        <w:pStyle w:val="a8"/>
        <w:widowControl/>
        <w:spacing w:line="400" w:lineRule="exact"/>
        <w:ind w:left="780" w:firstLineChars="0" w:firstLine="0"/>
        <w:rPr>
          <w:szCs w:val="21"/>
        </w:rPr>
      </w:pPr>
      <w:r>
        <w:rPr>
          <w:rFonts w:hint="eastAsia"/>
          <w:szCs w:val="21"/>
        </w:rPr>
        <w:t>跨国公司与国际直接投资理论</w:t>
      </w:r>
    </w:p>
    <w:p w14:paraId="0071A4F9" w14:textId="77777777" w:rsidR="002E271C" w:rsidRDefault="001B3FEF">
      <w:pPr>
        <w:pStyle w:val="a8"/>
        <w:widowControl/>
        <w:numPr>
          <w:ilvl w:val="0"/>
          <w:numId w:val="2"/>
        </w:numPr>
        <w:spacing w:line="400" w:lineRule="exact"/>
        <w:ind w:firstLineChars="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跨国公司的战略</w:t>
      </w:r>
      <w:r>
        <w:rPr>
          <w:rFonts w:hint="eastAsia"/>
          <w:b/>
          <w:bCs/>
          <w:szCs w:val="21"/>
        </w:rPr>
        <w:t xml:space="preserve"> </w:t>
      </w:r>
    </w:p>
    <w:p w14:paraId="22D28919" w14:textId="77777777" w:rsidR="002E271C" w:rsidRDefault="001B3FEF">
      <w:pPr>
        <w:pStyle w:val="a8"/>
        <w:widowControl/>
        <w:spacing w:line="400" w:lineRule="exact"/>
        <w:ind w:left="780" w:firstLineChars="0" w:firstLine="0"/>
        <w:rPr>
          <w:szCs w:val="21"/>
        </w:rPr>
      </w:pPr>
      <w:r>
        <w:rPr>
          <w:rFonts w:hint="eastAsia"/>
          <w:szCs w:val="21"/>
        </w:rPr>
        <w:t>跨国公司的经营战略</w:t>
      </w:r>
    </w:p>
    <w:p w14:paraId="01E2571C" w14:textId="77777777" w:rsidR="002E271C" w:rsidRDefault="001B3FEF">
      <w:pPr>
        <w:pStyle w:val="a8"/>
        <w:widowControl/>
        <w:spacing w:line="400" w:lineRule="exact"/>
        <w:ind w:left="780" w:firstLineChars="0" w:firstLine="0"/>
        <w:rPr>
          <w:szCs w:val="21"/>
        </w:rPr>
      </w:pPr>
      <w:r>
        <w:rPr>
          <w:rFonts w:hint="eastAsia"/>
          <w:szCs w:val="21"/>
        </w:rPr>
        <w:t>跨国公司的战略联盟</w:t>
      </w:r>
    </w:p>
    <w:p w14:paraId="63346FAD" w14:textId="77777777" w:rsidR="002E271C" w:rsidRDefault="001B3FEF">
      <w:pPr>
        <w:pStyle w:val="a8"/>
        <w:widowControl/>
        <w:spacing w:line="400" w:lineRule="exact"/>
        <w:ind w:left="780" w:firstLineChars="0" w:firstLine="0"/>
        <w:rPr>
          <w:szCs w:val="21"/>
        </w:rPr>
      </w:pPr>
      <w:r>
        <w:rPr>
          <w:rFonts w:hint="eastAsia"/>
          <w:szCs w:val="21"/>
        </w:rPr>
        <w:t>跨国公司的并购</w:t>
      </w:r>
    </w:p>
    <w:p w14:paraId="6DAD1F45" w14:textId="77777777" w:rsidR="002E271C" w:rsidRDefault="001B3FEF">
      <w:pPr>
        <w:pStyle w:val="a8"/>
        <w:widowControl/>
        <w:spacing w:line="400" w:lineRule="exact"/>
        <w:ind w:left="780" w:firstLineChars="0" w:firstLine="0"/>
        <w:rPr>
          <w:szCs w:val="21"/>
        </w:rPr>
      </w:pPr>
      <w:r>
        <w:rPr>
          <w:rFonts w:hint="eastAsia"/>
          <w:szCs w:val="21"/>
        </w:rPr>
        <w:lastRenderedPageBreak/>
        <w:t>跨国公司之间的战略竞争</w:t>
      </w:r>
    </w:p>
    <w:p w14:paraId="259583F1" w14:textId="77777777" w:rsidR="002E271C" w:rsidRDefault="001B3FEF">
      <w:pPr>
        <w:widowControl/>
        <w:spacing w:beforeLines="50" w:before="156" w:afterLines="50" w:after="156" w:line="400" w:lineRule="exact"/>
        <w:ind w:firstLineChars="200" w:firstLine="422"/>
        <w:rPr>
          <w:b/>
          <w:bCs/>
          <w:szCs w:val="21"/>
        </w:rPr>
      </w:pPr>
      <w:r>
        <w:rPr>
          <w:b/>
          <w:bCs/>
          <w:szCs w:val="21"/>
        </w:rPr>
        <w:t>第</w:t>
      </w:r>
      <w:r>
        <w:rPr>
          <w:rFonts w:hint="eastAsia"/>
          <w:b/>
          <w:bCs/>
          <w:szCs w:val="21"/>
        </w:rPr>
        <w:t>三</w:t>
      </w:r>
      <w:r>
        <w:rPr>
          <w:b/>
          <w:bCs/>
          <w:szCs w:val="21"/>
        </w:rPr>
        <w:t>部分</w:t>
      </w:r>
      <w:r>
        <w:rPr>
          <w:b/>
          <w:bCs/>
          <w:szCs w:val="21"/>
        </w:rPr>
        <w:t xml:space="preserve">  </w:t>
      </w:r>
      <w:r>
        <w:rPr>
          <w:b/>
          <w:bCs/>
          <w:szCs w:val="21"/>
        </w:rPr>
        <w:t>国际金融</w:t>
      </w:r>
      <w:r>
        <w:rPr>
          <w:rFonts w:hint="eastAsia"/>
          <w:b/>
          <w:bCs/>
          <w:szCs w:val="21"/>
        </w:rPr>
        <w:t>（</w:t>
      </w:r>
      <w:r>
        <w:rPr>
          <w:rFonts w:hint="eastAsia"/>
          <w:b/>
          <w:bCs/>
          <w:szCs w:val="21"/>
        </w:rPr>
        <w:t>参考《国际金融》和《国际商务》）</w:t>
      </w:r>
    </w:p>
    <w:p w14:paraId="73F38159" w14:textId="77777777" w:rsidR="002E271C" w:rsidRDefault="001B3FEF">
      <w:pPr>
        <w:pStyle w:val="a8"/>
        <w:widowControl/>
        <w:numPr>
          <w:ilvl w:val="0"/>
          <w:numId w:val="3"/>
        </w:numPr>
        <w:spacing w:line="400" w:lineRule="exact"/>
        <w:ind w:firstLineChars="0"/>
        <w:rPr>
          <w:b/>
          <w:szCs w:val="21"/>
        </w:rPr>
      </w:pPr>
      <w:r>
        <w:rPr>
          <w:b/>
          <w:szCs w:val="21"/>
        </w:rPr>
        <w:t>国际货币体系与汇率制度</w:t>
      </w:r>
    </w:p>
    <w:p w14:paraId="5FB63A80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szCs w:val="21"/>
        </w:rPr>
        <w:t>国际货币体系</w:t>
      </w:r>
    </w:p>
    <w:p w14:paraId="6CEF3469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szCs w:val="21"/>
        </w:rPr>
        <w:t>汇率制度</w:t>
      </w:r>
    </w:p>
    <w:p w14:paraId="2FBAA046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szCs w:val="21"/>
        </w:rPr>
        <w:t>人民币汇率</w:t>
      </w:r>
      <w:r>
        <w:rPr>
          <w:rFonts w:hint="eastAsia"/>
          <w:szCs w:val="21"/>
        </w:rPr>
        <w:t>制度</w:t>
      </w:r>
    </w:p>
    <w:p w14:paraId="25A36849" w14:textId="77777777" w:rsidR="002E271C" w:rsidRDefault="001B3FEF">
      <w:pPr>
        <w:pStyle w:val="a8"/>
        <w:widowControl/>
        <w:numPr>
          <w:ilvl w:val="0"/>
          <w:numId w:val="3"/>
        </w:numPr>
        <w:spacing w:line="400" w:lineRule="exact"/>
        <w:ind w:firstLineChars="0"/>
        <w:rPr>
          <w:b/>
          <w:szCs w:val="21"/>
        </w:rPr>
      </w:pPr>
      <w:r>
        <w:rPr>
          <w:b/>
          <w:szCs w:val="21"/>
        </w:rPr>
        <w:t>外汇市场、外汇业务与风险</w:t>
      </w:r>
    </w:p>
    <w:p w14:paraId="08E47D9B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szCs w:val="21"/>
        </w:rPr>
        <w:t>外汇市场与外汇业务</w:t>
      </w:r>
    </w:p>
    <w:p w14:paraId="40B368EB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szCs w:val="21"/>
        </w:rPr>
        <w:t>汇率决定</w:t>
      </w:r>
    </w:p>
    <w:p w14:paraId="3DCCCF65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szCs w:val="21"/>
        </w:rPr>
        <w:t>外汇风险</w:t>
      </w:r>
    </w:p>
    <w:p w14:paraId="753D2F3A" w14:textId="77777777" w:rsidR="002E271C" w:rsidRDefault="001B3FEF">
      <w:pPr>
        <w:pStyle w:val="a8"/>
        <w:widowControl/>
        <w:numPr>
          <w:ilvl w:val="0"/>
          <w:numId w:val="3"/>
        </w:numPr>
        <w:spacing w:line="400" w:lineRule="exact"/>
        <w:ind w:firstLineChars="0"/>
        <w:rPr>
          <w:b/>
          <w:szCs w:val="21"/>
        </w:rPr>
      </w:pPr>
      <w:r>
        <w:rPr>
          <w:b/>
          <w:szCs w:val="21"/>
        </w:rPr>
        <w:t>国际金融市场</w:t>
      </w:r>
    </w:p>
    <w:p w14:paraId="4749C698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szCs w:val="21"/>
        </w:rPr>
        <w:t>国际金融市场概述</w:t>
      </w:r>
    </w:p>
    <w:p w14:paraId="74549F3D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szCs w:val="21"/>
        </w:rPr>
        <w:t>货币市场</w:t>
      </w:r>
    </w:p>
    <w:p w14:paraId="6D6DE82F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szCs w:val="21"/>
        </w:rPr>
        <w:t>债券市场</w:t>
      </w:r>
      <w:r>
        <w:rPr>
          <w:szCs w:val="21"/>
        </w:rPr>
        <w:t xml:space="preserve">  </w:t>
      </w:r>
    </w:p>
    <w:p w14:paraId="2C714B30" w14:textId="77777777" w:rsidR="002E271C" w:rsidRDefault="001B3FEF">
      <w:pPr>
        <w:widowControl/>
        <w:spacing w:line="400" w:lineRule="exact"/>
        <w:ind w:firstLineChars="400" w:firstLine="840"/>
        <w:rPr>
          <w:szCs w:val="21"/>
        </w:rPr>
      </w:pPr>
      <w:r>
        <w:rPr>
          <w:szCs w:val="21"/>
        </w:rPr>
        <w:t>股权市场</w:t>
      </w:r>
    </w:p>
    <w:sectPr w:rsidR="002E27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1E40B" w14:textId="77777777" w:rsidR="001B3FEF" w:rsidRDefault="001B3FEF" w:rsidP="00F90E81">
      <w:r>
        <w:separator/>
      </w:r>
    </w:p>
  </w:endnote>
  <w:endnote w:type="continuationSeparator" w:id="0">
    <w:p w14:paraId="2B69C50A" w14:textId="77777777" w:rsidR="001B3FEF" w:rsidRDefault="001B3FEF" w:rsidP="00F9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05C3E" w14:textId="77777777" w:rsidR="001B3FEF" w:rsidRDefault="001B3FEF" w:rsidP="00F90E81">
      <w:r>
        <w:separator/>
      </w:r>
    </w:p>
  </w:footnote>
  <w:footnote w:type="continuationSeparator" w:id="0">
    <w:p w14:paraId="027E8B9A" w14:textId="77777777" w:rsidR="001B3FEF" w:rsidRDefault="001B3FEF" w:rsidP="00F90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F6E23"/>
    <w:multiLevelType w:val="multilevel"/>
    <w:tmpl w:val="36BF6E23"/>
    <w:lvl w:ilvl="0">
      <w:start w:val="1"/>
      <w:numFmt w:val="decimal"/>
      <w:lvlText w:val="%1."/>
      <w:lvlJc w:val="left"/>
      <w:pPr>
        <w:ind w:left="78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2" w:hanging="420"/>
      </w:pPr>
    </w:lvl>
    <w:lvl w:ilvl="2">
      <w:start w:val="1"/>
      <w:numFmt w:val="lowerRoman"/>
      <w:lvlText w:val="%3."/>
      <w:lvlJc w:val="right"/>
      <w:pPr>
        <w:ind w:left="1682" w:hanging="420"/>
      </w:pPr>
    </w:lvl>
    <w:lvl w:ilvl="3">
      <w:start w:val="1"/>
      <w:numFmt w:val="decimal"/>
      <w:lvlText w:val="%4."/>
      <w:lvlJc w:val="left"/>
      <w:pPr>
        <w:ind w:left="2102" w:hanging="420"/>
      </w:pPr>
    </w:lvl>
    <w:lvl w:ilvl="4">
      <w:start w:val="1"/>
      <w:numFmt w:val="lowerLetter"/>
      <w:lvlText w:val="%5)"/>
      <w:lvlJc w:val="left"/>
      <w:pPr>
        <w:ind w:left="2522" w:hanging="420"/>
      </w:pPr>
    </w:lvl>
    <w:lvl w:ilvl="5">
      <w:start w:val="1"/>
      <w:numFmt w:val="lowerRoman"/>
      <w:lvlText w:val="%6."/>
      <w:lvlJc w:val="right"/>
      <w:pPr>
        <w:ind w:left="2942" w:hanging="420"/>
      </w:pPr>
    </w:lvl>
    <w:lvl w:ilvl="6">
      <w:start w:val="1"/>
      <w:numFmt w:val="decimal"/>
      <w:lvlText w:val="%7."/>
      <w:lvlJc w:val="left"/>
      <w:pPr>
        <w:ind w:left="3362" w:hanging="420"/>
      </w:pPr>
    </w:lvl>
    <w:lvl w:ilvl="7">
      <w:start w:val="1"/>
      <w:numFmt w:val="lowerLetter"/>
      <w:lvlText w:val="%8)"/>
      <w:lvlJc w:val="left"/>
      <w:pPr>
        <w:ind w:left="3782" w:hanging="420"/>
      </w:pPr>
    </w:lvl>
    <w:lvl w:ilvl="8">
      <w:start w:val="1"/>
      <w:numFmt w:val="lowerRoman"/>
      <w:lvlText w:val="%9."/>
      <w:lvlJc w:val="right"/>
      <w:pPr>
        <w:ind w:left="4202" w:hanging="420"/>
      </w:pPr>
    </w:lvl>
  </w:abstractNum>
  <w:abstractNum w:abstractNumId="1" w15:restartNumberingAfterBreak="0">
    <w:nsid w:val="47F3074F"/>
    <w:multiLevelType w:val="multilevel"/>
    <w:tmpl w:val="47F3074F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67DF2DF4"/>
    <w:multiLevelType w:val="multilevel"/>
    <w:tmpl w:val="67DF2DF4"/>
    <w:lvl w:ilvl="0">
      <w:start w:val="1"/>
      <w:numFmt w:val="decimal"/>
      <w:lvlText w:val="%1."/>
      <w:lvlJc w:val="left"/>
      <w:pPr>
        <w:ind w:left="78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2" w:hanging="420"/>
      </w:pPr>
    </w:lvl>
    <w:lvl w:ilvl="2">
      <w:start w:val="1"/>
      <w:numFmt w:val="lowerRoman"/>
      <w:lvlText w:val="%3."/>
      <w:lvlJc w:val="right"/>
      <w:pPr>
        <w:ind w:left="1682" w:hanging="420"/>
      </w:pPr>
    </w:lvl>
    <w:lvl w:ilvl="3">
      <w:start w:val="1"/>
      <w:numFmt w:val="decimal"/>
      <w:lvlText w:val="%4."/>
      <w:lvlJc w:val="left"/>
      <w:pPr>
        <w:ind w:left="2102" w:hanging="420"/>
      </w:pPr>
    </w:lvl>
    <w:lvl w:ilvl="4">
      <w:start w:val="1"/>
      <w:numFmt w:val="lowerLetter"/>
      <w:lvlText w:val="%5)"/>
      <w:lvlJc w:val="left"/>
      <w:pPr>
        <w:ind w:left="2522" w:hanging="420"/>
      </w:pPr>
    </w:lvl>
    <w:lvl w:ilvl="5">
      <w:start w:val="1"/>
      <w:numFmt w:val="lowerRoman"/>
      <w:lvlText w:val="%6."/>
      <w:lvlJc w:val="right"/>
      <w:pPr>
        <w:ind w:left="2942" w:hanging="420"/>
      </w:pPr>
    </w:lvl>
    <w:lvl w:ilvl="6">
      <w:start w:val="1"/>
      <w:numFmt w:val="decimal"/>
      <w:lvlText w:val="%7."/>
      <w:lvlJc w:val="left"/>
      <w:pPr>
        <w:ind w:left="3362" w:hanging="420"/>
      </w:pPr>
    </w:lvl>
    <w:lvl w:ilvl="7">
      <w:start w:val="1"/>
      <w:numFmt w:val="lowerLetter"/>
      <w:lvlText w:val="%8)"/>
      <w:lvlJc w:val="left"/>
      <w:pPr>
        <w:ind w:left="3782" w:hanging="420"/>
      </w:pPr>
    </w:lvl>
    <w:lvl w:ilvl="8">
      <w:start w:val="1"/>
      <w:numFmt w:val="lowerRoman"/>
      <w:lvlText w:val="%9."/>
      <w:lvlJc w:val="right"/>
      <w:pPr>
        <w:ind w:left="4202" w:hanging="420"/>
      </w:pPr>
    </w:lvl>
  </w:abstractNum>
  <w:num w:numId="1" w16cid:durableId="1424648870">
    <w:abstractNumId w:val="2"/>
  </w:num>
  <w:num w:numId="2" w16cid:durableId="1781948451">
    <w:abstractNumId w:val="1"/>
  </w:num>
  <w:num w:numId="3" w16cid:durableId="897278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ZlMjc1OTcxODk0MWNlOGVkY2EzY2E1MDVlNDU0ZjAifQ=="/>
  </w:docVars>
  <w:rsids>
    <w:rsidRoot w:val="00E62EC1"/>
    <w:rsid w:val="0000451D"/>
    <w:rsid w:val="000F4911"/>
    <w:rsid w:val="001B3FEF"/>
    <w:rsid w:val="001C776C"/>
    <w:rsid w:val="001E26C9"/>
    <w:rsid w:val="002E271C"/>
    <w:rsid w:val="003531AF"/>
    <w:rsid w:val="00383DE3"/>
    <w:rsid w:val="003E3124"/>
    <w:rsid w:val="003E57E8"/>
    <w:rsid w:val="004B5B8F"/>
    <w:rsid w:val="005771B4"/>
    <w:rsid w:val="0067764A"/>
    <w:rsid w:val="007E57EB"/>
    <w:rsid w:val="008609F5"/>
    <w:rsid w:val="008E515C"/>
    <w:rsid w:val="00902574"/>
    <w:rsid w:val="00AC0853"/>
    <w:rsid w:val="00B9406C"/>
    <w:rsid w:val="00BB5DAA"/>
    <w:rsid w:val="00BE1645"/>
    <w:rsid w:val="00C7459E"/>
    <w:rsid w:val="00C82386"/>
    <w:rsid w:val="00CC5B9C"/>
    <w:rsid w:val="00CD4513"/>
    <w:rsid w:val="00D46437"/>
    <w:rsid w:val="00D54141"/>
    <w:rsid w:val="00E32E8D"/>
    <w:rsid w:val="00E62EC1"/>
    <w:rsid w:val="00E70350"/>
    <w:rsid w:val="00F253D6"/>
    <w:rsid w:val="00F90E81"/>
    <w:rsid w:val="3E6A6F13"/>
    <w:rsid w:val="50871147"/>
    <w:rsid w:val="62B27620"/>
    <w:rsid w:val="7A0A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53FF56"/>
  <w15:docId w15:val="{A938496B-EB04-4924-933E-E1547A47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pPr>
      <w:spacing w:line="260" w:lineRule="exact"/>
      <w:ind w:firstLineChars="200" w:firstLine="420"/>
    </w:pPr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  <w:pPr>
      <w:tabs>
        <w:tab w:val="right" w:leader="dot" w:pos="7175"/>
      </w:tabs>
      <w:ind w:leftChars="200" w:left="420" w:rightChars="100" w:right="210"/>
    </w:pPr>
    <w:rPr>
      <w:b/>
      <w:kern w:val="0"/>
    </w:rPr>
  </w:style>
  <w:style w:type="character" w:styleId="a7">
    <w:name w:val="Hyperlink"/>
    <w:qFormat/>
    <w:rPr>
      <w:color w:val="136EC2"/>
      <w:u w:val="single"/>
    </w:rPr>
  </w:style>
  <w:style w:type="character" w:customStyle="1" w:styleId="10">
    <w:name w:val="标题 1 字符"/>
    <w:link w:val="1"/>
    <w:qFormat/>
    <w:rPr>
      <w:b/>
      <w:bCs/>
      <w:kern w:val="44"/>
      <w:sz w:val="44"/>
      <w:szCs w:val="4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pple-converted-space">
    <w:name w:val="apple-converted-spac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9</cp:revision>
  <dcterms:created xsi:type="dcterms:W3CDTF">2022-06-27T08:58:00Z</dcterms:created>
  <dcterms:modified xsi:type="dcterms:W3CDTF">2022-08-26T09:04:00Z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C72E4F53EFE447979AABA4A51DF8BAE9</vt:lpwstr>
  </property>
</Properties>
</file>