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ascii="微软雅黑" w:hAnsi="微软雅黑" w:eastAsia="微软雅黑" w:cs="微软雅黑"/>
          <w:i w:val="0"/>
          <w:iCs w:val="0"/>
          <w:caps w:val="0"/>
          <w:color w:val="393939"/>
          <w:spacing w:val="0"/>
          <w:sz w:val="21"/>
          <w:szCs w:val="21"/>
        </w:rPr>
      </w:pPr>
      <w:bookmarkStart w:id="0" w:name="_GoBack"/>
      <w:r>
        <w:rPr>
          <w:rStyle w:val="4"/>
          <w:rFonts w:hint="eastAsia" w:ascii="微软雅黑" w:hAnsi="微软雅黑" w:eastAsia="微软雅黑" w:cs="微软雅黑"/>
          <w:i w:val="0"/>
          <w:iCs w:val="0"/>
          <w:caps w:val="0"/>
          <w:color w:val="393939"/>
          <w:spacing w:val="0"/>
          <w:kern w:val="0"/>
          <w:sz w:val="34"/>
          <w:szCs w:val="34"/>
          <w:bdr w:val="none" w:color="auto" w:sz="0" w:space="0"/>
          <w:lang w:val="en-US" w:eastAsia="zh-CN" w:bidi="ar"/>
        </w:rPr>
        <w:t>武汉科技大学体育学院推荐应届毕业生免试攻读硕士研究生成绩量化标准</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left"/>
        <w:rPr>
          <w:rFonts w:hint="eastAsia" w:ascii="微软雅黑" w:hAnsi="微软雅黑" w:eastAsia="微软雅黑" w:cs="微软雅黑"/>
          <w:i w:val="0"/>
          <w:iCs w:val="0"/>
          <w:caps w:val="0"/>
          <w:color w:val="393939"/>
          <w:spacing w:val="0"/>
          <w:sz w:val="21"/>
          <w:szCs w:val="21"/>
        </w:rPr>
      </w:pPr>
      <w:r>
        <w:rPr>
          <w:rStyle w:val="4"/>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一、申报条件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（一）完成教学计划规定的前三年所有课程必须及格，无补考记录，且平均学分绩点在3.0及以上；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（二）全国大学英语四级成绩达到425分及以上。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both"/>
        <w:rPr>
          <w:rFonts w:hint="eastAsia" w:ascii="微软雅黑" w:hAnsi="微软雅黑" w:eastAsia="微软雅黑" w:cs="微软雅黑"/>
          <w:i w:val="0"/>
          <w:iCs w:val="0"/>
          <w:caps w:val="0"/>
          <w:color w:val="393939"/>
          <w:spacing w:val="0"/>
          <w:sz w:val="21"/>
          <w:szCs w:val="21"/>
        </w:rPr>
      </w:pPr>
      <w:r>
        <w:rPr>
          <w:rStyle w:val="4"/>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二、遴选指标及各指标分值占比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（一）推荐应届毕业生免试攻读硕士研究生按综合成绩排名确定人选，综合成绩包括学业成绩、综合素质成绩两部分。综合素质成绩包含：参军入伍服兵役、参加志愿服务、科研成果、竞赛获奖、其它五部分。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（二）综合成绩总分100分，其中学业成绩占70%、综合素质成绩占30%（参军入伍服兵役10%、参加志愿服务10%、科研成果30%、竞赛获奖40%，其它10%），各指标分值占比如下：</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56"/>
        <w:gridCol w:w="847"/>
        <w:gridCol w:w="1020"/>
        <w:gridCol w:w="912"/>
        <w:gridCol w:w="847"/>
        <w:gridCol w:w="847"/>
        <w:gridCol w:w="15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56" w:type="dxa"/>
            <w:tcBorders>
              <w:top w:val="single" w:color="000000" w:sz="4" w:space="0"/>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指标1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(70%)</w:t>
            </w:r>
          </w:p>
        </w:tc>
        <w:tc>
          <w:tcPr>
            <w:tcW w:w="4308" w:type="dxa"/>
            <w:gridSpan w:val="5"/>
            <w:tcBorders>
              <w:top w:val="single" w:color="000000" w:sz="4" w:space="0"/>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指标2（综合素质）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综合成绩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56"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学业成绩</w:t>
            </w:r>
          </w:p>
        </w:tc>
        <w:tc>
          <w:tcPr>
            <w:tcW w:w="792"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参军入伍服兵役</w:t>
            </w:r>
          </w:p>
        </w:tc>
        <w:tc>
          <w:tcPr>
            <w:tcW w:w="102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参加志愿服务</w:t>
            </w:r>
          </w:p>
        </w:tc>
        <w:tc>
          <w:tcPr>
            <w:tcW w:w="912" w:type="dxa"/>
            <w:tcBorders>
              <w:top w:val="single" w:color="000000" w:sz="4" w:space="0"/>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科研成果</w:t>
            </w:r>
          </w:p>
        </w:tc>
        <w:tc>
          <w:tcPr>
            <w:tcW w:w="792" w:type="dxa"/>
            <w:tcBorders>
              <w:top w:val="single" w:color="000000" w:sz="4" w:space="0"/>
              <w:left w:val="single" w:color="000000" w:sz="4" w:space="0"/>
              <w:bottom w:val="single" w:color="000000" w:sz="4" w:space="0"/>
              <w:right w:val="single" w:color="000000" w:sz="4" w:space="0"/>
            </w:tcBorders>
            <w:shd w:val="clear"/>
            <w:tcMar>
              <w:left w:w="84" w:type="dxa"/>
              <w:right w:w="84"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left"/>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竞赛获奖</w:t>
            </w:r>
          </w:p>
        </w:tc>
        <w:tc>
          <w:tcPr>
            <w:tcW w:w="792" w:type="dxa"/>
            <w:tcBorders>
              <w:top w:val="single" w:color="000000" w:sz="4" w:space="0"/>
              <w:left w:val="single" w:color="000000" w:sz="4" w:space="0"/>
              <w:bottom w:val="single" w:color="000000" w:sz="4" w:space="0"/>
              <w:right w:val="single" w:color="000000" w:sz="4" w:space="0"/>
            </w:tcBorders>
            <w:shd w:val="clear"/>
            <w:tcMar>
              <w:left w:w="84" w:type="dxa"/>
              <w:right w:w="84"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left"/>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left"/>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其他</w:t>
            </w:r>
          </w:p>
        </w:tc>
        <w:tc>
          <w:tcPr>
            <w:tcW w:w="1248" w:type="dxa"/>
            <w:tcBorders>
              <w:top w:val="single" w:color="000000" w:sz="4" w:space="0"/>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满分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56"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100分</w:t>
            </w:r>
          </w:p>
        </w:tc>
        <w:tc>
          <w:tcPr>
            <w:tcW w:w="792"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10分</w:t>
            </w:r>
          </w:p>
        </w:tc>
        <w:tc>
          <w:tcPr>
            <w:tcW w:w="1020"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10分</w:t>
            </w:r>
          </w:p>
        </w:tc>
        <w:tc>
          <w:tcPr>
            <w:tcW w:w="912"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30分</w:t>
            </w:r>
          </w:p>
        </w:tc>
        <w:tc>
          <w:tcPr>
            <w:tcW w:w="792" w:type="dxa"/>
            <w:tcBorders>
              <w:top w:val="nil"/>
              <w:left w:val="single" w:color="000000" w:sz="4" w:space="0"/>
              <w:bottom w:val="single" w:color="000000" w:sz="4" w:space="0"/>
              <w:right w:val="single" w:color="000000" w:sz="4" w:space="0"/>
            </w:tcBorders>
            <w:shd w:val="clear"/>
            <w:tcMar>
              <w:left w:w="84" w:type="dxa"/>
              <w:right w:w="84"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40分</w:t>
            </w:r>
          </w:p>
        </w:tc>
        <w:tc>
          <w:tcPr>
            <w:tcW w:w="792" w:type="dxa"/>
            <w:tcBorders>
              <w:top w:val="nil"/>
              <w:left w:val="single" w:color="000000" w:sz="4" w:space="0"/>
              <w:bottom w:val="single" w:color="000000" w:sz="4" w:space="0"/>
              <w:right w:val="single" w:color="000000" w:sz="4" w:space="0"/>
            </w:tcBorders>
            <w:shd w:val="clear"/>
            <w:tcMar>
              <w:left w:w="84" w:type="dxa"/>
              <w:right w:w="84"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10分</w:t>
            </w:r>
          </w:p>
        </w:tc>
        <w:tc>
          <w:tcPr>
            <w:tcW w:w="1248"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center"/>
              <w:rPr>
                <w:rFonts w:hint="eastAsia" w:ascii="微软雅黑" w:hAnsi="微软雅黑" w:eastAsia="微软雅黑" w:cs="微软雅黑"/>
                <w:color w:val="393939"/>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100分</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432"/>
        <w:jc w:val="both"/>
        <w:rPr>
          <w:rFonts w:hint="eastAsia" w:ascii="微软雅黑" w:hAnsi="微软雅黑" w:eastAsia="微软雅黑" w:cs="微软雅黑"/>
          <w:i w:val="0"/>
          <w:iCs w:val="0"/>
          <w:caps w:val="0"/>
          <w:color w:val="393939"/>
          <w:spacing w:val="0"/>
          <w:sz w:val="21"/>
          <w:szCs w:val="21"/>
        </w:rPr>
      </w:pPr>
      <w:r>
        <w:rPr>
          <w:rStyle w:val="4"/>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三、评分标准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Style w:val="4"/>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（一）</w:t>
      </w:r>
      <w:r>
        <w:rPr>
          <w:rStyle w:val="4"/>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思想品德“一票否决”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思想品德包括学生在校期间个人表现、团队意识和服务意识。个人表现指在校期间学习、生活、实践活动中表现出的遵守校纪法规、诚信意识等；团队意识指学生在集体活动中表现出的合作意识和模范带头作用；服务意识指学生在担任学生干部或在集体活动中的工作态度，以学院研究生推免领导小组研究决定，对思想品德有重大问题的实行“一票否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Style w:val="4"/>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（二）综合成绩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 </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综合成绩=学业成绩×7</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0%+综合素质成绩×30%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768"/>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1.学业成绩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768" w:right="0" w:firstLine="432"/>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学业成绩采用必修课和专业选修课加权平均成绩，计算方法：加权平均成绩=Σ（每门课程分数</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学分数）/Σ学分数。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768"/>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2.综合素质成绩的项目认定及分值（占综合成绩的50%）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768"/>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2.1</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参军入伍服兵役（满分1</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768"/>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在校期间参军入伍服兵役计8分，服兵役期间荣立三等功及以上者加2分。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768"/>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2.2</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参加志愿服务（满分1</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768"/>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志愿汇注册中国志愿者，且志愿服务时长达到3</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6</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小时计5分。服务时长超过部分，每3</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6</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小时加1分，获省级优秀志愿者证书加3分，获得市级优秀志愿者证书加1分，加分5分封顶。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768"/>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2.3科研成果（满分30分）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主要包括课题项目、科研论文、会议论文（研究方向须与本专业相关）：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2.3.1</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参与国家级课题（含大学生创新创业训练计划项目）一项计10分；省部级课题一项计</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7分；厅局级一项计5分；校级课题一项计3分。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2.3.2科研论文加分以实际刊物为依据，电子版、录用通知、传真件无效。以第一作者在中文核心期刊、SCI、SSCI</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期刊上发表论文一篇计10分</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，非第一作者一篇计3</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分（累计不超过2篇）；第一作者在公开发行的一般刊物上发表论文一篇计</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3分。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2.3.3获国家级科研论文报告会（仅限第一作者）一等奖10分，二等奖5分，三等奖3分；省级科研论文报告会一等奖5分，二等奖3分，以最高奖励计分，不累计计分。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2.4竞赛获奖（满分40分）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2.4.1学科竞赛：参加校级以上专业基本功大赛、教学技能比赛和其他校级以上非体育竞赛。国家级一等奖40分，二等奖30分，三等奖20分；省级一等奖30分，二等奖20分，三等奖10分；校级一等奖10</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分，二等奖5分，</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三等奖3分；同一赛事以最高奖励计分，不累积计分。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2.4.2</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术科竞赛：全国性单项体育协会组织的联赛获冠军、亚军、季军，依次计4</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0</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分、3</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5分、30分，第四到八名均计为20分；参加全国大体协组织的体育比赛、年度全国锦标赛获冠军、亚军、季军，依次计30分、25</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分、2</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0</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分，第四到八名均计1</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5</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分；参加省大体协组织的体育比赛、省大运会、年度省锦标赛或冠军赛、省运会冠军、亚军、季军，依次计1</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5</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分、1</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分、1</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0分。其他赛事参照以上赛事级别给予相应记分，以最高奖励计分，不累积计分。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2.5</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其他（满分1</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2.5.1</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获得全国三好学生、优秀学生干部、优秀共青团员，计1</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0</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分，获得省级三好学生、优秀学生干部、优秀共青团员，计</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6分，获得校级三好学生、优秀学生干部、优秀共青团员，计3分。以上奖励中同类奖励取最高等次奖励，不累计计分。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2.5.2</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校、院各学生组织部门负责人、各班班长、团支部书记任职满1年加2分。此项加分取最高等级，不累计加分。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2.5.3获得国家英语六级</w:t>
      </w:r>
      <w:r>
        <w:rPr>
          <w:rFonts w:hint="eastAsia" w:ascii="微软雅黑" w:hAnsi="微软雅黑" w:eastAsia="微软雅黑" w:cs="微软雅黑"/>
          <w:i w:val="0"/>
          <w:iCs w:val="0"/>
          <w:caps w:val="0"/>
          <w:color w:val="393939"/>
          <w:spacing w:val="0"/>
          <w:kern w:val="0"/>
          <w:sz w:val="21"/>
          <w:szCs w:val="21"/>
          <w:bdr w:val="none" w:color="auto" w:sz="0" w:space="0"/>
          <w:lang w:val="en-US" w:eastAsia="zh-CN" w:bidi="ar"/>
        </w:rPr>
        <w:t>证书，计4</w:t>
      </w: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以上各种奖励以学生提供的获奖证书为准，无获奖证书不能计分；其他未列入此标准的成果及奖励由学院推荐应届毕业生免试攻读硕士研究生工作小组研究决定。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left"/>
        <w:rPr>
          <w:rFonts w:hint="eastAsia" w:ascii="微软雅黑" w:hAnsi="微软雅黑" w:eastAsia="微软雅黑" w:cs="微软雅黑"/>
          <w:i w:val="0"/>
          <w:iCs w:val="0"/>
          <w:caps w:val="0"/>
          <w:color w:val="393939"/>
          <w:spacing w:val="0"/>
          <w:sz w:val="21"/>
          <w:szCs w:val="21"/>
        </w:rPr>
      </w:pPr>
      <w:r>
        <w:rPr>
          <w:rFonts w:hint="eastAsia" w:ascii="微软雅黑" w:hAnsi="微软雅黑" w:eastAsia="微软雅黑" w:cs="微软雅黑"/>
          <w:i w:val="0"/>
          <w:iCs w:val="0"/>
          <w:caps w:val="0"/>
          <w:color w:val="393939"/>
          <w:spacing w:val="0"/>
          <w:kern w:val="0"/>
          <w:sz w:val="25"/>
          <w:szCs w:val="25"/>
          <w:bdr w:val="none" w:color="auto" w:sz="0" w:space="0"/>
          <w:lang w:val="en-US" w:eastAsia="zh-CN" w:bidi="ar"/>
        </w:rPr>
        <w:t>注：凡涉及有争议的问题，由体育学院推免工作领导小组讨论决定。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ZmEwN2M5YTk2ZWFhZjJkNTQzZDJhYjZmNTA5MjAifQ=="/>
  </w:docVars>
  <w:rsids>
    <w:rsidRoot w:val="1396735F"/>
    <w:rsid w:val="1396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2023-08-18T09:54:00Z</dcterms:created>
  <dc:creator>夜无声</dc:creator>
  <cp:lastModifiedBy>夜无声</cp:lastModifiedBy>
  <dcterms:modified xsi:type="dcterms:W3CDTF">2023-08-18T09:54:39Z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268152E883564246885DE28D1555C400_11</vt:lpwstr>
  </property>
</Properties>
</file>