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36"/>
          <w:szCs w:val="44"/>
        </w:rPr>
      </w:pPr>
      <w:r>
        <w:rPr>
          <w:rFonts w:hint="eastAsia" w:ascii="黑体" w:hAnsi="黑体" w:eastAsia="黑体" w:cs="黑体"/>
          <w:sz w:val="36"/>
          <w:szCs w:val="44"/>
          <w:lang w:val="en-US" w:eastAsia="zh-CN"/>
        </w:rPr>
        <w:t>北京师范大学</w:t>
      </w:r>
      <w:r>
        <w:rPr>
          <w:rFonts w:hint="eastAsia" w:ascii="黑体" w:hAnsi="黑体" w:eastAsia="黑体" w:cs="黑体"/>
          <w:sz w:val="36"/>
          <w:szCs w:val="44"/>
        </w:rPr>
        <w:t>湾区国际商学院</w:t>
      </w:r>
    </w:p>
    <w:p>
      <w:pPr>
        <w:spacing w:line="360" w:lineRule="auto"/>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金融学（</w:t>
      </w:r>
      <w:r>
        <w:rPr>
          <w:rFonts w:hint="default" w:ascii="Times New Roman" w:hAnsi="Times New Roman" w:eastAsia="黑体" w:cs="Times New Roman"/>
          <w:sz w:val="36"/>
          <w:szCs w:val="44"/>
          <w:lang w:val="en-US" w:eastAsia="zh-CN"/>
        </w:rPr>
        <w:t>Fintech</w:t>
      </w:r>
      <w:r>
        <w:rPr>
          <w:rFonts w:hint="eastAsia" w:ascii="黑体" w:hAnsi="黑体" w:eastAsia="黑体" w:cs="黑体"/>
          <w:sz w:val="36"/>
          <w:szCs w:val="44"/>
          <w:lang w:val="en-US" w:eastAsia="zh-CN"/>
        </w:rPr>
        <w:t>）专业</w:t>
      </w:r>
    </w:p>
    <w:p>
      <w:pPr>
        <w:spacing w:line="360" w:lineRule="auto"/>
        <w:jc w:val="center"/>
        <w:rPr>
          <w:rFonts w:hint="eastAsia" w:ascii="黑体" w:hAnsi="黑体" w:eastAsia="黑体" w:cs="黑体"/>
          <w:sz w:val="24"/>
          <w:szCs w:val="32"/>
        </w:rPr>
      </w:pPr>
      <w:r>
        <w:rPr>
          <w:rFonts w:hint="eastAsia" w:ascii="黑体" w:hAnsi="黑体" w:eastAsia="黑体" w:cs="黑体"/>
          <w:sz w:val="36"/>
          <w:szCs w:val="44"/>
          <w:lang w:val="en-US" w:eastAsia="zh-CN"/>
        </w:rPr>
        <w:t>2023年</w:t>
      </w:r>
      <w:r>
        <w:rPr>
          <w:rFonts w:hint="eastAsia" w:ascii="黑体" w:hAnsi="黑体" w:eastAsia="黑体" w:cs="黑体"/>
          <w:sz w:val="36"/>
          <w:szCs w:val="44"/>
        </w:rPr>
        <w:t>推荐免试研究生工作</w:t>
      </w:r>
      <w:r>
        <w:rPr>
          <w:rFonts w:hint="eastAsia" w:ascii="黑体" w:hAnsi="黑体" w:eastAsia="黑体" w:cs="黑体"/>
          <w:sz w:val="36"/>
          <w:szCs w:val="44"/>
          <w:lang w:val="en-US" w:eastAsia="zh-CN"/>
        </w:rPr>
        <w:t>实施</w:t>
      </w:r>
      <w:r>
        <w:rPr>
          <w:rFonts w:hint="eastAsia" w:ascii="黑体" w:hAnsi="黑体" w:eastAsia="黑体" w:cs="黑体"/>
          <w:sz w:val="36"/>
          <w:szCs w:val="44"/>
        </w:rPr>
        <w:t>办法</w:t>
      </w:r>
    </w:p>
    <w:p>
      <w:pPr>
        <w:spacing w:line="360" w:lineRule="auto"/>
        <w:rPr>
          <w:rFonts w:hint="eastAsia" w:ascii="宋体" w:hAnsi="宋体" w:eastAsia="宋体" w:cs="宋体"/>
          <w:sz w:val="24"/>
          <w:szCs w:val="32"/>
        </w:rPr>
      </w:pP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为提升我院推荐优秀应届本科毕业生免试攻读硕士学位研究生工作质量，</w:t>
      </w:r>
      <w:r>
        <w:rPr>
          <w:rFonts w:hint="eastAsia" w:ascii="宋体" w:hAnsi="宋体" w:eastAsia="宋体" w:cs="宋体"/>
          <w:sz w:val="24"/>
          <w:szCs w:val="32"/>
          <w:lang w:val="en-US" w:eastAsia="zh-CN"/>
        </w:rPr>
        <w:t>根据</w:t>
      </w:r>
      <w:r>
        <w:rPr>
          <w:rFonts w:hint="eastAsia" w:ascii="宋体" w:hAnsi="宋体" w:eastAsia="宋体" w:cs="宋体"/>
          <w:sz w:val="24"/>
          <w:szCs w:val="32"/>
        </w:rPr>
        <w:t>《教育部办公厅关于进一步规范和加强推荐优秀应届本科毕业生免试攻读研究生工作的通知》（教学厅〔2020〕12号）、《北京师范大学推荐免试攻读硕士生工作实施办法》（师教〔2021〕2号）等文件精神，本着公平、公正、公开的原则，制定本实施办法。</w:t>
      </w:r>
    </w:p>
    <w:p>
      <w:pPr>
        <w:spacing w:line="360" w:lineRule="auto"/>
        <w:ind w:firstLine="480" w:firstLineChars="200"/>
        <w:rPr>
          <w:rFonts w:hint="eastAsia" w:ascii="宋体" w:hAnsi="宋体" w:eastAsia="宋体" w:cs="宋体"/>
          <w:sz w:val="24"/>
          <w:szCs w:val="32"/>
        </w:rPr>
      </w:pPr>
    </w:p>
    <w:p>
      <w:pPr>
        <w:pStyle w:val="2"/>
        <w:bidi w:val="0"/>
        <w:rPr>
          <w:rFonts w:hint="default"/>
          <w:lang w:val="en-US" w:eastAsia="zh-CN"/>
        </w:rPr>
      </w:pPr>
      <w:r>
        <w:rPr>
          <w:rFonts w:hint="eastAsia"/>
          <w:lang w:val="en-US" w:eastAsia="zh-CN"/>
        </w:rPr>
        <w:t>一、组织工作</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成立学院推荐免试研究生工作组，负责制定本院推荐工作实施细则、审核申请材料、进行综合考核并提出推荐名单等工作。</w:t>
      </w:r>
    </w:p>
    <w:p>
      <w:pPr>
        <w:spacing w:line="360" w:lineRule="auto"/>
        <w:ind w:firstLine="480" w:firstLineChars="20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金融学（Fintech）专业推荐免试研究生工作组构成：</w:t>
      </w:r>
    </w:p>
    <w:p>
      <w:pPr>
        <w:spacing w:line="360" w:lineRule="auto"/>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组长：仲鑫</w:t>
      </w:r>
    </w:p>
    <w:p>
      <w:pPr>
        <w:spacing w:line="360" w:lineRule="auto"/>
        <w:ind w:firstLine="480" w:firstLineChars="200"/>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成员（按姓氏笔画排序）：车婷婷、陈应东、吴良、周彬学、黄淑静、韩梦</w:t>
      </w:r>
    </w:p>
    <w:p>
      <w:pPr>
        <w:spacing w:line="360" w:lineRule="auto"/>
        <w:ind w:firstLine="480" w:firstLineChars="200"/>
        <w:rPr>
          <w:rFonts w:hint="eastAsia" w:ascii="宋体" w:hAnsi="宋体" w:eastAsia="宋体" w:cs="宋体"/>
          <w:sz w:val="24"/>
          <w:szCs w:val="32"/>
        </w:rPr>
      </w:pPr>
    </w:p>
    <w:p>
      <w:pPr>
        <w:pStyle w:val="2"/>
        <w:bidi w:val="0"/>
        <w:rPr>
          <w:rFonts w:hint="default"/>
          <w:lang w:val="en-US" w:eastAsia="zh-CN"/>
        </w:rPr>
      </w:pPr>
      <w:r>
        <w:rPr>
          <w:rFonts w:hint="eastAsia"/>
          <w:lang w:val="en-US" w:eastAsia="zh-CN"/>
        </w:rPr>
        <w:t>二、申请条件</w:t>
      </w:r>
    </w:p>
    <w:p>
      <w:pPr>
        <w:spacing w:line="360" w:lineRule="auto"/>
        <w:ind w:firstLine="240" w:firstLineChars="100"/>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一</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申请目的与要求、申请条件、综合考核计分方法参照</w:t>
      </w:r>
      <w:r>
        <w:rPr>
          <w:rFonts w:hint="eastAsia" w:ascii="宋体" w:hAnsi="宋体" w:eastAsia="宋体" w:cs="宋体"/>
          <w:sz w:val="24"/>
          <w:szCs w:val="32"/>
        </w:rPr>
        <w:t>《北京师范大学推荐免试攻读硕士生工作实施办法》</w:t>
      </w:r>
      <w:r>
        <w:rPr>
          <w:rFonts w:hint="eastAsia" w:ascii="宋体" w:hAnsi="宋体" w:eastAsia="宋体" w:cs="宋体"/>
          <w:sz w:val="24"/>
          <w:szCs w:val="32"/>
          <w:lang w:val="en-US" w:eastAsia="zh-CN"/>
        </w:rPr>
        <w:t>。</w:t>
      </w:r>
    </w:p>
    <w:p>
      <w:pPr>
        <w:spacing w:line="360" w:lineRule="auto"/>
        <w:ind w:firstLine="240" w:firstLineChars="100"/>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二</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破格申请</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 xml:space="preserve">1. </w:t>
      </w:r>
      <w:r>
        <w:rPr>
          <w:rFonts w:hint="eastAsia" w:ascii="宋体" w:hAnsi="宋体" w:eastAsia="宋体" w:cs="宋体"/>
          <w:sz w:val="24"/>
          <w:szCs w:val="32"/>
        </w:rPr>
        <w:t>在满足学校和学院规定的其他申请条件前提下，</w:t>
      </w:r>
      <w:r>
        <w:rPr>
          <w:rFonts w:hint="eastAsia" w:ascii="宋体" w:hAnsi="宋体" w:eastAsia="宋体" w:cs="宋体"/>
          <w:sz w:val="24"/>
          <w:szCs w:val="32"/>
          <w:lang w:val="en-US" w:eastAsia="zh-CN"/>
        </w:rPr>
        <w:t>学业</w:t>
      </w:r>
      <w:r>
        <w:rPr>
          <w:rFonts w:hint="eastAsia" w:ascii="宋体" w:hAnsi="宋体" w:eastAsia="宋体" w:cs="宋体"/>
          <w:sz w:val="24"/>
          <w:szCs w:val="32"/>
        </w:rPr>
        <w:t>成绩未达到所在专业排名</w:t>
      </w:r>
      <w:r>
        <w:rPr>
          <w:rFonts w:hint="eastAsia" w:ascii="宋体" w:hAnsi="宋体" w:eastAsia="宋体" w:cs="宋体"/>
          <w:sz w:val="24"/>
          <w:szCs w:val="32"/>
          <w:highlight w:val="none"/>
        </w:rPr>
        <w:t>的前</w:t>
      </w:r>
      <w:r>
        <w:rPr>
          <w:rFonts w:hint="eastAsia" w:ascii="宋体" w:hAnsi="宋体" w:eastAsia="宋体" w:cs="宋体"/>
          <w:sz w:val="24"/>
          <w:szCs w:val="32"/>
          <w:highlight w:val="none"/>
          <w:lang w:val="en-US" w:eastAsia="zh-CN"/>
        </w:rPr>
        <w:t>6</w:t>
      </w:r>
      <w:r>
        <w:rPr>
          <w:rFonts w:hint="eastAsia" w:ascii="宋体" w:hAnsi="宋体" w:eastAsia="宋体" w:cs="宋体"/>
          <w:sz w:val="24"/>
          <w:szCs w:val="32"/>
          <w:highlight w:val="none"/>
        </w:rPr>
        <w:t>0%，在科研创新、学术</w:t>
      </w:r>
      <w:r>
        <w:rPr>
          <w:rFonts w:hint="eastAsia" w:ascii="宋体" w:hAnsi="宋体" w:eastAsia="宋体" w:cs="宋体"/>
          <w:sz w:val="24"/>
          <w:szCs w:val="32"/>
        </w:rPr>
        <w:t>论文、学科竞赛和社会服务等方面表现特别突出、对国家和社会有重大贡献的同学可申请破格。</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 xml:space="preserve"> 破格申请者须有两名本专业教授的推荐意见。</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 xml:space="preserve"> 被批准破格申请者将与其他申请者一起按照学校和学院规定的记分标准记分排名，学院实行择优选拔。</w:t>
      </w:r>
    </w:p>
    <w:p>
      <w:pPr>
        <w:spacing w:line="360" w:lineRule="auto"/>
        <w:ind w:firstLine="480" w:firstLineChars="200"/>
        <w:rPr>
          <w:rFonts w:hint="eastAsia" w:ascii="宋体" w:hAnsi="宋体" w:eastAsia="宋体" w:cs="宋体"/>
          <w:sz w:val="24"/>
          <w:szCs w:val="32"/>
        </w:rPr>
      </w:pPr>
    </w:p>
    <w:p>
      <w:pPr>
        <w:pStyle w:val="2"/>
        <w:bidi w:val="0"/>
        <w:rPr>
          <w:rFonts w:hint="eastAsia" w:ascii="宋体" w:hAnsi="宋体" w:eastAsia="宋体" w:cs="宋体"/>
          <w:sz w:val="24"/>
          <w:szCs w:val="32"/>
          <w:lang w:val="en-US" w:eastAsia="zh-CN"/>
        </w:rPr>
      </w:pPr>
      <w:r>
        <w:rPr>
          <w:rFonts w:hint="eastAsia"/>
          <w:lang w:val="en-US" w:eastAsia="zh-CN"/>
        </w:rPr>
        <w:t>三、综合考核计分方法</w:t>
      </w:r>
    </w:p>
    <w:p>
      <w:pPr>
        <w:widowControl/>
        <w:spacing w:line="400" w:lineRule="exact"/>
        <w:ind w:firstLine="602" w:firstLineChars="250"/>
        <w:jc w:val="left"/>
        <w:rPr>
          <w:rFonts w:hint="eastAsia" w:ascii="宋体" w:hAnsi="宋体"/>
          <w:b/>
          <w:kern w:val="0"/>
          <w:sz w:val="24"/>
        </w:rPr>
      </w:pPr>
    </w:p>
    <w:p>
      <w:pPr>
        <w:pStyle w:val="7"/>
        <w:adjustRightInd w:val="0"/>
        <w:snapToGrid w:val="0"/>
        <w:spacing w:before="0" w:beforeLines="0" w:after="0" w:line="360" w:lineRule="auto"/>
        <w:ind w:left="0" w:leftChars="0" w:firstLine="482"/>
        <w:jc w:val="center"/>
        <w:rPr>
          <w:rFonts w:hint="eastAsia" w:ascii="宋体" w:hAnsi="宋体"/>
          <w:b/>
          <w:kern w:val="0"/>
          <w:sz w:val="24"/>
        </w:rPr>
      </w:pPr>
      <w:r>
        <w:rPr>
          <w:rFonts w:hint="eastAsia" w:ascii="宋体" w:hAnsi="宋体"/>
          <w:b/>
          <w:kern w:val="0"/>
          <w:sz w:val="24"/>
        </w:rPr>
        <w:t>推荐免试研究生综合考核计分方法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5642"/>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项目</w:t>
            </w:r>
          </w:p>
        </w:tc>
        <w:tc>
          <w:tcPr>
            <w:tcW w:w="5380"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内容</w:t>
            </w:r>
          </w:p>
        </w:tc>
        <w:tc>
          <w:tcPr>
            <w:tcW w:w="2773"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07"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kern w:val="0"/>
                <w:sz w:val="24"/>
              </w:rPr>
              <w:t>（一）专业成绩</w:t>
            </w:r>
          </w:p>
        </w:tc>
        <w:tc>
          <w:tcPr>
            <w:tcW w:w="5380" w:type="dxa"/>
            <w:noWrap w:val="0"/>
            <w:vAlign w:val="center"/>
          </w:tcPr>
          <w:p>
            <w:pPr>
              <w:pStyle w:val="7"/>
              <w:adjustRightInd w:val="0"/>
              <w:snapToGrid w:val="0"/>
              <w:spacing w:before="0" w:beforeLines="0" w:after="0" w:line="360" w:lineRule="exact"/>
              <w:ind w:left="0" w:leftChars="0" w:firstLine="0" w:firstLineChars="0"/>
              <w:jc w:val="center"/>
              <w:rPr>
                <w:rFonts w:hint="eastAsia" w:ascii="宋体" w:hAnsi="宋体"/>
                <w:kern w:val="0"/>
                <w:szCs w:val="21"/>
              </w:rPr>
            </w:pPr>
            <w:r>
              <w:rPr>
                <w:rFonts w:hint="eastAsia" w:ascii="宋体" w:hAnsi="宋体"/>
                <w:szCs w:val="21"/>
              </w:rPr>
              <w:t>专业课平均学分绩</w:t>
            </w:r>
          </w:p>
        </w:tc>
        <w:tc>
          <w:tcPr>
            <w:tcW w:w="2773" w:type="dxa"/>
            <w:noWrap w:val="0"/>
            <w:vAlign w:val="center"/>
          </w:tcPr>
          <w:p>
            <w:pPr>
              <w:pStyle w:val="7"/>
              <w:adjustRightInd w:val="0"/>
              <w:snapToGrid w:val="0"/>
              <w:spacing w:before="0" w:beforeLines="0" w:after="0" w:line="360" w:lineRule="exact"/>
              <w:ind w:left="0" w:leftChars="0" w:firstLine="0" w:firstLineChars="0"/>
              <w:jc w:val="center"/>
              <w:rPr>
                <w:rFonts w:hint="eastAsia" w:ascii="宋体" w:hAnsi="宋体"/>
                <w:kern w:val="0"/>
                <w:szCs w:val="21"/>
              </w:rPr>
            </w:pPr>
            <w:r>
              <w:rPr>
                <w:rFonts w:hint="eastAsia" w:ascii="宋体" w:hAnsi="宋体"/>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07" w:type="dxa"/>
            <w:noWrap w:val="0"/>
            <w:vAlign w:val="center"/>
          </w:tcPr>
          <w:p>
            <w:pPr>
              <w:pStyle w:val="7"/>
              <w:adjustRightInd w:val="0"/>
              <w:snapToGrid w:val="0"/>
              <w:spacing w:before="0" w:beforeLines="0" w:after="0" w:line="360" w:lineRule="auto"/>
              <w:ind w:left="0" w:leftChars="0" w:firstLine="0" w:firstLineChars="0"/>
              <w:jc w:val="center"/>
              <w:rPr>
                <w:rFonts w:hint="eastAsia" w:ascii="宋体" w:hAnsi="宋体"/>
                <w:b/>
                <w:kern w:val="0"/>
                <w:sz w:val="24"/>
              </w:rPr>
            </w:pPr>
            <w:r>
              <w:rPr>
                <w:rFonts w:hint="eastAsia" w:ascii="宋体" w:hAnsi="宋体"/>
                <w:b/>
                <w:sz w:val="24"/>
              </w:rPr>
              <w:t>（二）科研创新</w:t>
            </w:r>
          </w:p>
        </w:tc>
        <w:tc>
          <w:tcPr>
            <w:tcW w:w="8153" w:type="dxa"/>
            <w:gridSpan w:val="2"/>
            <w:noWrap w:val="0"/>
            <w:vAlign w:val="center"/>
          </w:tcPr>
          <w:tbl>
            <w:tblPr>
              <w:tblStyle w:val="10"/>
              <w:tblW w:w="7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671"/>
              <w:gridCol w:w="719"/>
              <w:gridCol w:w="713"/>
              <w:gridCol w:w="707"/>
              <w:gridCol w:w="708"/>
              <w:gridCol w:w="708"/>
              <w:gridCol w:w="72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Merge w:val="restart"/>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类别</w:t>
                  </w:r>
                </w:p>
              </w:tc>
              <w:tc>
                <w:tcPr>
                  <w:tcW w:w="2810" w:type="dxa"/>
                  <w:gridSpan w:val="4"/>
                  <w:shd w:val="clear" w:color="auto" w:fill="auto"/>
                  <w:noWrap w:val="0"/>
                  <w:vAlign w:val="top"/>
                </w:tcPr>
                <w:p>
                  <w:pPr>
                    <w:jc w:val="center"/>
                    <w:rPr>
                      <w:rFonts w:hint="eastAsia" w:ascii="宋体" w:hAnsi="宋体"/>
                    </w:rPr>
                  </w:pPr>
                  <w:r>
                    <w:rPr>
                      <w:rFonts w:hint="eastAsia" w:ascii="宋体" w:hAnsi="宋体"/>
                    </w:rPr>
                    <w:t>主持人</w:t>
                  </w:r>
                </w:p>
              </w:tc>
              <w:tc>
                <w:tcPr>
                  <w:tcW w:w="2986" w:type="dxa"/>
                  <w:gridSpan w:val="4"/>
                  <w:shd w:val="clear" w:color="auto" w:fill="auto"/>
                  <w:noWrap w:val="0"/>
                  <w:vAlign w:val="top"/>
                </w:tcPr>
                <w:p>
                  <w:pPr>
                    <w:jc w:val="center"/>
                    <w:rPr>
                      <w:rFonts w:hint="eastAsia"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vMerge w:val="continue"/>
                  <w:shd w:val="clear" w:color="auto" w:fill="auto"/>
                  <w:noWrap w:val="0"/>
                  <w:vAlign w:val="top"/>
                </w:tcPr>
                <w:p>
                  <w:pPr>
                    <w:jc w:val="center"/>
                    <w:rPr>
                      <w:rFonts w:hint="eastAsia" w:ascii="宋体" w:hAnsi="宋体" w:cs="宋体"/>
                      <w:kern w:val="0"/>
                      <w:szCs w:val="21"/>
                    </w:rPr>
                  </w:pPr>
                </w:p>
              </w:tc>
              <w:tc>
                <w:tcPr>
                  <w:tcW w:w="671" w:type="dxa"/>
                  <w:shd w:val="clear" w:color="auto" w:fill="auto"/>
                  <w:noWrap w:val="0"/>
                  <w:vAlign w:val="top"/>
                </w:tcPr>
                <w:p>
                  <w:pPr>
                    <w:jc w:val="center"/>
                    <w:rPr>
                      <w:rFonts w:ascii="宋体" w:hAnsi="宋体"/>
                    </w:rPr>
                  </w:pPr>
                  <w:r>
                    <w:rPr>
                      <w:rFonts w:hint="eastAsia" w:ascii="宋体" w:hAnsi="宋体"/>
                    </w:rPr>
                    <w:t>立项</w:t>
                  </w:r>
                </w:p>
              </w:tc>
              <w:tc>
                <w:tcPr>
                  <w:tcW w:w="719" w:type="dxa"/>
                  <w:shd w:val="clear" w:color="auto" w:fill="auto"/>
                  <w:noWrap w:val="0"/>
                  <w:vAlign w:val="top"/>
                </w:tcPr>
                <w:p>
                  <w:pPr>
                    <w:jc w:val="center"/>
                    <w:rPr>
                      <w:rFonts w:ascii="宋体" w:hAnsi="宋体"/>
                    </w:rPr>
                  </w:pPr>
                  <w:r>
                    <w:rPr>
                      <w:rFonts w:hint="eastAsia" w:ascii="宋体" w:hAnsi="宋体"/>
                    </w:rPr>
                    <w:t>中期</w:t>
                  </w:r>
                </w:p>
              </w:tc>
              <w:tc>
                <w:tcPr>
                  <w:tcW w:w="713" w:type="dxa"/>
                  <w:shd w:val="clear" w:color="auto" w:fill="auto"/>
                  <w:noWrap w:val="0"/>
                  <w:vAlign w:val="top"/>
                </w:tcPr>
                <w:p>
                  <w:pPr>
                    <w:jc w:val="center"/>
                    <w:rPr>
                      <w:rFonts w:ascii="宋体" w:hAnsi="宋体"/>
                    </w:rPr>
                  </w:pPr>
                  <w:r>
                    <w:rPr>
                      <w:rFonts w:hint="eastAsia" w:ascii="宋体" w:hAnsi="宋体"/>
                    </w:rPr>
                    <w:t>结项</w:t>
                  </w:r>
                </w:p>
              </w:tc>
              <w:tc>
                <w:tcPr>
                  <w:tcW w:w="707" w:type="dxa"/>
                  <w:shd w:val="clear" w:color="auto" w:fill="auto"/>
                  <w:noWrap w:val="0"/>
                  <w:vAlign w:val="top"/>
                </w:tcPr>
                <w:p>
                  <w:pPr>
                    <w:jc w:val="center"/>
                    <w:rPr>
                      <w:rFonts w:hint="eastAsia" w:ascii="宋体" w:hAnsi="宋体"/>
                    </w:rPr>
                  </w:pPr>
                  <w:r>
                    <w:rPr>
                      <w:rFonts w:hint="eastAsia" w:ascii="宋体" w:hAnsi="宋体"/>
                    </w:rPr>
                    <w:t>优秀</w:t>
                  </w:r>
                </w:p>
              </w:tc>
              <w:tc>
                <w:tcPr>
                  <w:tcW w:w="708" w:type="dxa"/>
                  <w:shd w:val="clear" w:color="auto" w:fill="auto"/>
                  <w:noWrap w:val="0"/>
                  <w:vAlign w:val="top"/>
                </w:tcPr>
                <w:p>
                  <w:pPr>
                    <w:jc w:val="center"/>
                    <w:rPr>
                      <w:rFonts w:ascii="宋体" w:hAnsi="宋体"/>
                    </w:rPr>
                  </w:pPr>
                  <w:r>
                    <w:rPr>
                      <w:rFonts w:hint="eastAsia" w:ascii="宋体" w:hAnsi="宋体"/>
                    </w:rPr>
                    <w:t>立项</w:t>
                  </w:r>
                </w:p>
              </w:tc>
              <w:tc>
                <w:tcPr>
                  <w:tcW w:w="708" w:type="dxa"/>
                  <w:shd w:val="clear" w:color="auto" w:fill="auto"/>
                  <w:noWrap w:val="0"/>
                  <w:vAlign w:val="top"/>
                </w:tcPr>
                <w:p>
                  <w:pPr>
                    <w:jc w:val="center"/>
                    <w:rPr>
                      <w:rFonts w:ascii="宋体" w:hAnsi="宋体"/>
                    </w:rPr>
                  </w:pPr>
                  <w:r>
                    <w:rPr>
                      <w:rFonts w:hint="eastAsia" w:ascii="宋体" w:hAnsi="宋体"/>
                    </w:rPr>
                    <w:t>中期</w:t>
                  </w:r>
                </w:p>
              </w:tc>
              <w:tc>
                <w:tcPr>
                  <w:tcW w:w="720" w:type="dxa"/>
                  <w:shd w:val="clear" w:color="auto" w:fill="auto"/>
                  <w:noWrap w:val="0"/>
                  <w:vAlign w:val="top"/>
                </w:tcPr>
                <w:p>
                  <w:pPr>
                    <w:jc w:val="center"/>
                    <w:rPr>
                      <w:rFonts w:ascii="宋体" w:hAnsi="宋体"/>
                    </w:rPr>
                  </w:pPr>
                  <w:r>
                    <w:rPr>
                      <w:rFonts w:hint="eastAsia" w:ascii="宋体" w:hAnsi="宋体"/>
                    </w:rPr>
                    <w:t>结项</w:t>
                  </w:r>
                </w:p>
              </w:tc>
              <w:tc>
                <w:tcPr>
                  <w:tcW w:w="850" w:type="dxa"/>
                  <w:shd w:val="clear" w:color="auto" w:fill="auto"/>
                  <w:noWrap w:val="0"/>
                  <w:vAlign w:val="top"/>
                </w:tcPr>
                <w:p>
                  <w:pPr>
                    <w:jc w:val="center"/>
                    <w:rPr>
                      <w:rFonts w:hint="eastAsia" w:ascii="宋体" w:hAnsi="宋体"/>
                    </w:rPr>
                  </w:pPr>
                  <w:r>
                    <w:rPr>
                      <w:rFonts w:hint="eastAsia" w:ascii="宋体" w:hAnsi="宋体"/>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auto"/>
                  <w:noWrap w:val="0"/>
                  <w:vAlign w:val="top"/>
                </w:tcPr>
                <w:p>
                  <w:pPr>
                    <w:spacing w:line="240" w:lineRule="exact"/>
                    <w:rPr>
                      <w:rFonts w:ascii="宋体" w:hAnsi="宋体"/>
                    </w:rPr>
                  </w:pPr>
                  <w:r>
                    <w:rPr>
                      <w:rFonts w:hint="eastAsia" w:ascii="宋体" w:hAnsi="宋体" w:cs="宋体"/>
                      <w:kern w:val="0"/>
                      <w:szCs w:val="21"/>
                    </w:rPr>
                    <w:t>国家级创业实践项目</w:t>
                  </w:r>
                </w:p>
              </w:tc>
              <w:tc>
                <w:tcPr>
                  <w:tcW w:w="671" w:type="dxa"/>
                  <w:shd w:val="clear" w:color="auto" w:fill="auto"/>
                  <w:noWrap w:val="0"/>
                  <w:vAlign w:val="center"/>
                </w:tcPr>
                <w:p>
                  <w:pPr>
                    <w:jc w:val="center"/>
                    <w:rPr>
                      <w:rFonts w:ascii="宋体" w:hAnsi="宋体"/>
                    </w:rPr>
                  </w:pPr>
                  <w:r>
                    <w:rPr>
                      <w:rFonts w:hint="eastAsia" w:ascii="宋体" w:hAnsi="宋体" w:cs="宋体"/>
                      <w:kern w:val="0"/>
                      <w:szCs w:val="21"/>
                    </w:rPr>
                    <w:t>1</w:t>
                  </w:r>
                </w:p>
              </w:tc>
              <w:tc>
                <w:tcPr>
                  <w:tcW w:w="719" w:type="dxa"/>
                  <w:shd w:val="clear" w:color="auto" w:fill="auto"/>
                  <w:noWrap w:val="0"/>
                  <w:vAlign w:val="center"/>
                </w:tcPr>
                <w:p>
                  <w:pPr>
                    <w:jc w:val="center"/>
                    <w:rPr>
                      <w:rFonts w:ascii="宋体" w:hAnsi="宋体"/>
                    </w:rPr>
                  </w:pPr>
                  <w:r>
                    <w:rPr>
                      <w:rFonts w:hint="eastAsia" w:ascii="宋体" w:hAnsi="宋体" w:cs="宋体"/>
                      <w:kern w:val="0"/>
                      <w:szCs w:val="21"/>
                    </w:rPr>
                    <w:t>1.5</w:t>
                  </w:r>
                </w:p>
              </w:tc>
              <w:tc>
                <w:tcPr>
                  <w:tcW w:w="713" w:type="dxa"/>
                  <w:shd w:val="clear" w:color="auto" w:fill="auto"/>
                  <w:noWrap w:val="0"/>
                  <w:vAlign w:val="center"/>
                </w:tcPr>
                <w:p>
                  <w:pPr>
                    <w:jc w:val="center"/>
                    <w:rPr>
                      <w:rFonts w:ascii="宋体" w:hAnsi="宋体"/>
                    </w:rPr>
                  </w:pPr>
                  <w:r>
                    <w:rPr>
                      <w:rFonts w:hint="eastAsia" w:ascii="宋体" w:hAnsi="宋体" w:cs="宋体"/>
                      <w:kern w:val="0"/>
                      <w:szCs w:val="21"/>
                    </w:rPr>
                    <w:t>2</w:t>
                  </w:r>
                </w:p>
              </w:tc>
              <w:tc>
                <w:tcPr>
                  <w:tcW w:w="707" w:type="dxa"/>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1</w:t>
                  </w:r>
                </w:p>
              </w:tc>
              <w:tc>
                <w:tcPr>
                  <w:tcW w:w="708" w:type="dxa"/>
                  <w:shd w:val="clear" w:color="auto" w:fill="auto"/>
                  <w:noWrap w:val="0"/>
                  <w:vAlign w:val="center"/>
                </w:tcPr>
                <w:p>
                  <w:pPr>
                    <w:jc w:val="center"/>
                    <w:rPr>
                      <w:rFonts w:ascii="宋体" w:hAnsi="宋体"/>
                    </w:rPr>
                  </w:pPr>
                  <w:r>
                    <w:rPr>
                      <w:rFonts w:hint="eastAsia" w:ascii="宋体" w:hAnsi="宋体" w:cs="宋体"/>
                      <w:kern w:val="0"/>
                      <w:szCs w:val="21"/>
                    </w:rPr>
                    <w:t>0.8</w:t>
                  </w:r>
                </w:p>
              </w:tc>
              <w:tc>
                <w:tcPr>
                  <w:tcW w:w="708" w:type="dxa"/>
                  <w:shd w:val="clear" w:color="auto" w:fill="auto"/>
                  <w:noWrap w:val="0"/>
                  <w:vAlign w:val="center"/>
                </w:tcPr>
                <w:p>
                  <w:pPr>
                    <w:jc w:val="center"/>
                    <w:rPr>
                      <w:rFonts w:hint="eastAsia" w:ascii="宋体" w:hAnsi="宋体"/>
                    </w:rPr>
                  </w:pPr>
                  <w:r>
                    <w:rPr>
                      <w:rFonts w:hint="eastAsia" w:ascii="宋体" w:hAnsi="宋体" w:cs="宋体"/>
                      <w:kern w:val="0"/>
                      <w:szCs w:val="21"/>
                    </w:rPr>
                    <w:t>1</w:t>
                  </w:r>
                </w:p>
              </w:tc>
              <w:tc>
                <w:tcPr>
                  <w:tcW w:w="720" w:type="dxa"/>
                  <w:shd w:val="clear" w:color="auto" w:fill="auto"/>
                  <w:noWrap w:val="0"/>
                  <w:vAlign w:val="center"/>
                </w:tcPr>
                <w:p>
                  <w:pPr>
                    <w:jc w:val="center"/>
                    <w:rPr>
                      <w:rFonts w:ascii="宋体" w:hAnsi="宋体"/>
                    </w:rPr>
                  </w:pPr>
                  <w:r>
                    <w:rPr>
                      <w:rFonts w:hint="eastAsia" w:ascii="宋体" w:hAnsi="宋体" w:cs="宋体"/>
                      <w:kern w:val="0"/>
                      <w:szCs w:val="21"/>
                    </w:rPr>
                    <w:t>1.5</w:t>
                  </w:r>
                </w:p>
              </w:tc>
              <w:tc>
                <w:tcPr>
                  <w:tcW w:w="850" w:type="dxa"/>
                  <w:shd w:val="clear" w:color="auto" w:fill="auto"/>
                  <w:noWrap w:val="0"/>
                  <w:vAlign w:val="center"/>
                </w:tcPr>
                <w:p>
                  <w:pPr>
                    <w:jc w:val="center"/>
                    <w:rPr>
                      <w:rFonts w:hint="eastAsia" w:ascii="宋体" w:hAnsi="宋体" w:cs="宋体"/>
                      <w:kern w:val="0"/>
                      <w:szCs w:val="21"/>
                    </w:rPr>
                  </w:pPr>
                  <w:r>
                    <w:rPr>
                      <w:rFonts w:hint="eastAsia" w:ascii="宋体" w:hAnsi="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auto"/>
                  <w:noWrap w:val="0"/>
                  <w:vAlign w:val="top"/>
                </w:tcPr>
                <w:p>
                  <w:pPr>
                    <w:spacing w:line="240" w:lineRule="exact"/>
                    <w:rPr>
                      <w:rFonts w:ascii="宋体" w:hAnsi="宋体" w:cs="宋体"/>
                      <w:kern w:val="0"/>
                      <w:szCs w:val="21"/>
                    </w:rPr>
                  </w:pPr>
                  <w:r>
                    <w:rPr>
                      <w:rFonts w:hint="eastAsia" w:ascii="宋体" w:hAnsi="宋体" w:cs="宋体"/>
                      <w:kern w:val="0"/>
                      <w:szCs w:val="21"/>
                    </w:rPr>
                    <w:t>国家级创新训练和创业训练项目</w:t>
                  </w:r>
                </w:p>
              </w:tc>
              <w:tc>
                <w:tcPr>
                  <w:tcW w:w="671" w:type="dxa"/>
                  <w:shd w:val="clear" w:color="auto" w:fill="auto"/>
                  <w:noWrap w:val="0"/>
                  <w:vAlign w:val="center"/>
                </w:tcPr>
                <w:p>
                  <w:pPr>
                    <w:jc w:val="center"/>
                    <w:rPr>
                      <w:rFonts w:ascii="宋体" w:hAnsi="宋体"/>
                    </w:rPr>
                  </w:pPr>
                  <w:r>
                    <w:rPr>
                      <w:rFonts w:hint="eastAsia"/>
                    </w:rPr>
                    <w:t>0.6</w:t>
                  </w:r>
                </w:p>
              </w:tc>
              <w:tc>
                <w:tcPr>
                  <w:tcW w:w="719" w:type="dxa"/>
                  <w:shd w:val="clear" w:color="auto" w:fill="auto"/>
                  <w:noWrap w:val="0"/>
                  <w:vAlign w:val="center"/>
                </w:tcPr>
                <w:p>
                  <w:pPr>
                    <w:jc w:val="center"/>
                    <w:rPr>
                      <w:rFonts w:ascii="宋体" w:hAnsi="宋体"/>
                    </w:rPr>
                  </w:pPr>
                  <w:r>
                    <w:rPr>
                      <w:rFonts w:hint="eastAsia"/>
                    </w:rPr>
                    <w:t>1</w:t>
                  </w:r>
                </w:p>
              </w:tc>
              <w:tc>
                <w:tcPr>
                  <w:tcW w:w="713" w:type="dxa"/>
                  <w:shd w:val="clear" w:color="auto" w:fill="auto"/>
                  <w:noWrap w:val="0"/>
                  <w:vAlign w:val="center"/>
                </w:tcPr>
                <w:p>
                  <w:pPr>
                    <w:jc w:val="center"/>
                    <w:rPr>
                      <w:rFonts w:ascii="宋体" w:hAnsi="宋体"/>
                    </w:rPr>
                  </w:pPr>
                  <w:r>
                    <w:rPr>
                      <w:rFonts w:hint="eastAsia"/>
                    </w:rPr>
                    <w:t>1.5</w:t>
                  </w:r>
                </w:p>
              </w:tc>
              <w:tc>
                <w:tcPr>
                  <w:tcW w:w="707" w:type="dxa"/>
                  <w:shd w:val="clear" w:color="auto" w:fill="auto"/>
                  <w:noWrap w:val="0"/>
                  <w:vAlign w:val="center"/>
                </w:tcPr>
                <w:p>
                  <w:pPr>
                    <w:jc w:val="center"/>
                    <w:rPr>
                      <w:rFonts w:ascii="宋体" w:hAnsi="宋体"/>
                    </w:rPr>
                  </w:pPr>
                  <w:r>
                    <w:rPr>
                      <w:rFonts w:hint="eastAsia" w:ascii="宋体" w:hAnsi="宋体" w:cs="宋体"/>
                      <w:kern w:val="0"/>
                      <w:szCs w:val="21"/>
                    </w:rPr>
                    <w:t>0.5</w:t>
                  </w:r>
                </w:p>
              </w:tc>
              <w:tc>
                <w:tcPr>
                  <w:tcW w:w="708" w:type="dxa"/>
                  <w:shd w:val="clear" w:color="auto" w:fill="auto"/>
                  <w:noWrap w:val="0"/>
                  <w:vAlign w:val="center"/>
                </w:tcPr>
                <w:p>
                  <w:pPr>
                    <w:jc w:val="center"/>
                    <w:rPr>
                      <w:rFonts w:ascii="宋体" w:hAnsi="宋体"/>
                    </w:rPr>
                  </w:pPr>
                  <w:r>
                    <w:rPr>
                      <w:rFonts w:hint="eastAsia"/>
                    </w:rPr>
                    <w:t>0.4</w:t>
                  </w:r>
                </w:p>
              </w:tc>
              <w:tc>
                <w:tcPr>
                  <w:tcW w:w="708" w:type="dxa"/>
                  <w:shd w:val="clear" w:color="auto" w:fill="auto"/>
                  <w:noWrap w:val="0"/>
                  <w:vAlign w:val="center"/>
                </w:tcPr>
                <w:p>
                  <w:pPr>
                    <w:jc w:val="center"/>
                    <w:rPr>
                      <w:rFonts w:ascii="宋体" w:hAnsi="宋体"/>
                    </w:rPr>
                  </w:pPr>
                  <w:r>
                    <w:rPr>
                      <w:rFonts w:hint="eastAsia"/>
                    </w:rPr>
                    <w:t>0.7</w:t>
                  </w:r>
                </w:p>
              </w:tc>
              <w:tc>
                <w:tcPr>
                  <w:tcW w:w="720" w:type="dxa"/>
                  <w:shd w:val="clear" w:color="auto" w:fill="auto"/>
                  <w:noWrap w:val="0"/>
                  <w:vAlign w:val="center"/>
                </w:tcPr>
                <w:p>
                  <w:pPr>
                    <w:jc w:val="center"/>
                    <w:rPr>
                      <w:rFonts w:ascii="宋体" w:hAnsi="宋体"/>
                    </w:rPr>
                  </w:pPr>
                  <w:r>
                    <w:rPr>
                      <w:rFonts w:hint="eastAsia" w:ascii="宋体" w:hAnsi="宋体"/>
                    </w:rPr>
                    <w:t>1</w:t>
                  </w:r>
                </w:p>
              </w:tc>
              <w:tc>
                <w:tcPr>
                  <w:tcW w:w="850" w:type="dxa"/>
                  <w:shd w:val="clear" w:color="auto" w:fill="auto"/>
                  <w:noWrap w:val="0"/>
                  <w:vAlign w:val="center"/>
                </w:tcPr>
                <w:p>
                  <w:pPr>
                    <w:jc w:val="center"/>
                    <w:rPr>
                      <w:rFonts w:ascii="宋体" w:hAnsi="宋体"/>
                    </w:rPr>
                  </w:pPr>
                  <w:r>
                    <w:rPr>
                      <w:rFonts w:hint="eastAsia" w:ascii="宋体" w:hAnsi="宋体" w:cs="宋体"/>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shd w:val="clear" w:color="auto" w:fill="auto"/>
                  <w:noWrap w:val="0"/>
                  <w:vAlign w:val="top"/>
                </w:tcPr>
                <w:p>
                  <w:pPr>
                    <w:pStyle w:val="7"/>
                    <w:adjustRightInd w:val="0"/>
                    <w:snapToGrid w:val="0"/>
                    <w:spacing w:before="0" w:beforeLines="0" w:after="0" w:line="240" w:lineRule="exact"/>
                    <w:ind w:left="0" w:leftChars="0" w:firstLine="0" w:firstLineChars="0"/>
                    <w:rPr>
                      <w:rFonts w:hint="eastAsia" w:ascii="宋体" w:hAnsi="宋体"/>
                      <w:kern w:val="0"/>
                      <w:szCs w:val="21"/>
                    </w:rPr>
                  </w:pPr>
                  <w:r>
                    <w:rPr>
                      <w:rFonts w:hint="eastAsia" w:ascii="宋体" w:hAnsi="宋体"/>
                      <w:kern w:val="0"/>
                      <w:szCs w:val="21"/>
                    </w:rPr>
                    <w:t>校级本科科研基金项目</w:t>
                  </w:r>
                </w:p>
              </w:tc>
              <w:tc>
                <w:tcPr>
                  <w:tcW w:w="671" w:type="dxa"/>
                  <w:shd w:val="clear" w:color="auto" w:fill="auto"/>
                  <w:noWrap w:val="0"/>
                  <w:vAlign w:val="center"/>
                </w:tcPr>
                <w:p>
                  <w:pPr>
                    <w:jc w:val="center"/>
                    <w:rPr>
                      <w:rFonts w:ascii="宋体" w:hAnsi="宋体"/>
                    </w:rPr>
                  </w:pPr>
                  <w:r>
                    <w:rPr>
                      <w:rFonts w:hint="eastAsia"/>
                    </w:rPr>
                    <w:t>0.2</w:t>
                  </w:r>
                </w:p>
              </w:tc>
              <w:tc>
                <w:tcPr>
                  <w:tcW w:w="719" w:type="dxa"/>
                  <w:shd w:val="clear" w:color="auto" w:fill="auto"/>
                  <w:noWrap w:val="0"/>
                  <w:vAlign w:val="center"/>
                </w:tcPr>
                <w:p>
                  <w:pPr>
                    <w:jc w:val="center"/>
                    <w:rPr>
                      <w:rFonts w:ascii="宋体" w:hAnsi="宋体"/>
                    </w:rPr>
                  </w:pPr>
                  <w:r>
                    <w:rPr>
                      <w:rFonts w:hint="eastAsia"/>
                    </w:rPr>
                    <w:t>0.5</w:t>
                  </w:r>
                </w:p>
              </w:tc>
              <w:tc>
                <w:tcPr>
                  <w:tcW w:w="713" w:type="dxa"/>
                  <w:shd w:val="clear" w:color="auto" w:fill="auto"/>
                  <w:noWrap w:val="0"/>
                  <w:vAlign w:val="center"/>
                </w:tcPr>
                <w:p>
                  <w:pPr>
                    <w:jc w:val="center"/>
                    <w:rPr>
                      <w:rFonts w:ascii="宋体" w:hAnsi="宋体"/>
                    </w:rPr>
                  </w:pPr>
                  <w:r>
                    <w:rPr>
                      <w:rFonts w:hint="eastAsia" w:ascii="宋体" w:hAnsi="宋体"/>
                    </w:rPr>
                    <w:t>1</w:t>
                  </w:r>
                </w:p>
              </w:tc>
              <w:tc>
                <w:tcPr>
                  <w:tcW w:w="707" w:type="dxa"/>
                  <w:shd w:val="clear" w:color="auto" w:fill="auto"/>
                  <w:noWrap w:val="0"/>
                  <w:vAlign w:val="center"/>
                </w:tcPr>
                <w:p>
                  <w:pPr>
                    <w:jc w:val="center"/>
                    <w:rPr>
                      <w:rFonts w:ascii="宋体" w:hAnsi="宋体"/>
                    </w:rPr>
                  </w:pPr>
                  <w:r>
                    <w:rPr>
                      <w:rFonts w:hint="eastAsia" w:ascii="宋体" w:hAnsi="宋体" w:cs="宋体"/>
                      <w:kern w:val="0"/>
                      <w:szCs w:val="21"/>
                    </w:rPr>
                    <w:t>0.5</w:t>
                  </w:r>
                </w:p>
              </w:tc>
              <w:tc>
                <w:tcPr>
                  <w:tcW w:w="708" w:type="dxa"/>
                  <w:shd w:val="clear" w:color="auto" w:fill="auto"/>
                  <w:noWrap w:val="0"/>
                  <w:vAlign w:val="center"/>
                </w:tcPr>
                <w:p>
                  <w:pPr>
                    <w:jc w:val="center"/>
                    <w:rPr>
                      <w:rFonts w:ascii="宋体" w:hAnsi="宋体"/>
                    </w:rPr>
                  </w:pPr>
                  <w:r>
                    <w:rPr>
                      <w:rFonts w:hint="eastAsia"/>
                    </w:rPr>
                    <w:t>0.1</w:t>
                  </w:r>
                </w:p>
              </w:tc>
              <w:tc>
                <w:tcPr>
                  <w:tcW w:w="708" w:type="dxa"/>
                  <w:shd w:val="clear" w:color="auto" w:fill="auto"/>
                  <w:noWrap w:val="0"/>
                  <w:vAlign w:val="center"/>
                </w:tcPr>
                <w:p>
                  <w:pPr>
                    <w:jc w:val="center"/>
                    <w:rPr>
                      <w:rFonts w:ascii="宋体" w:hAnsi="宋体"/>
                    </w:rPr>
                  </w:pPr>
                  <w:r>
                    <w:rPr>
                      <w:rFonts w:hint="eastAsia"/>
                    </w:rPr>
                    <w:t>0.3</w:t>
                  </w:r>
                </w:p>
              </w:tc>
              <w:tc>
                <w:tcPr>
                  <w:tcW w:w="720" w:type="dxa"/>
                  <w:shd w:val="clear" w:color="auto" w:fill="auto"/>
                  <w:noWrap w:val="0"/>
                  <w:vAlign w:val="center"/>
                </w:tcPr>
                <w:p>
                  <w:pPr>
                    <w:jc w:val="center"/>
                    <w:rPr>
                      <w:rFonts w:ascii="宋体" w:hAnsi="宋体"/>
                    </w:rPr>
                  </w:pPr>
                  <w:r>
                    <w:rPr>
                      <w:rFonts w:hint="eastAsia"/>
                    </w:rPr>
                    <w:t>0.5</w:t>
                  </w:r>
                </w:p>
              </w:tc>
              <w:tc>
                <w:tcPr>
                  <w:tcW w:w="850" w:type="dxa"/>
                  <w:shd w:val="clear" w:color="auto" w:fill="auto"/>
                  <w:noWrap w:val="0"/>
                  <w:vAlign w:val="center"/>
                </w:tcPr>
                <w:p>
                  <w:pPr>
                    <w:jc w:val="center"/>
                    <w:rPr>
                      <w:rFonts w:ascii="宋体" w:hAnsi="宋体"/>
                    </w:rPr>
                  </w:pPr>
                  <w:r>
                    <w:rPr>
                      <w:rFonts w:hint="eastAsia" w:ascii="宋体" w:hAnsi="宋体" w:cs="宋体"/>
                      <w:kern w:val="0"/>
                      <w:szCs w:val="21"/>
                    </w:rPr>
                    <w:t>0.2</w:t>
                  </w:r>
                </w:p>
              </w:tc>
            </w:tr>
          </w:tbl>
          <w:p>
            <w:pPr>
              <w:pStyle w:val="6"/>
              <w:spacing w:line="3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trPr>
        <w:tc>
          <w:tcPr>
            <w:tcW w:w="907" w:type="dxa"/>
            <w:noWrap w:val="0"/>
            <w:vAlign w:val="center"/>
          </w:tcPr>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r>
              <w:rPr>
                <w:rFonts w:hint="eastAsia" w:ascii="宋体" w:hAnsi="宋体"/>
                <w:b/>
                <w:kern w:val="0"/>
                <w:sz w:val="24"/>
              </w:rPr>
              <w:t>（三）学术论文</w:t>
            </w:r>
          </w:p>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p>
        </w:tc>
        <w:tc>
          <w:tcPr>
            <w:tcW w:w="8153" w:type="dxa"/>
            <w:gridSpan w:val="2"/>
            <w:noWrap w:val="0"/>
            <w:vAlign w:val="center"/>
          </w:tcPr>
          <w:tbl>
            <w:tblPr>
              <w:tblStyle w:val="10"/>
              <w:tblW w:w="8200" w:type="dxa"/>
              <w:tblInd w:w="0" w:type="dxa"/>
              <w:tblLayout w:type="autofit"/>
              <w:tblCellMar>
                <w:top w:w="0" w:type="dxa"/>
                <w:left w:w="108" w:type="dxa"/>
                <w:bottom w:w="0" w:type="dxa"/>
                <w:right w:w="108" w:type="dxa"/>
              </w:tblCellMar>
            </w:tblPr>
            <w:tblGrid>
              <w:gridCol w:w="980"/>
              <w:gridCol w:w="1266"/>
              <w:gridCol w:w="1134"/>
              <w:gridCol w:w="1134"/>
              <w:gridCol w:w="1275"/>
              <w:gridCol w:w="993"/>
              <w:gridCol w:w="1418"/>
            </w:tblGrid>
            <w:tr>
              <w:tblPrEx>
                <w:tblCellMar>
                  <w:top w:w="0" w:type="dxa"/>
                  <w:left w:w="108" w:type="dxa"/>
                  <w:bottom w:w="0" w:type="dxa"/>
                  <w:right w:w="108" w:type="dxa"/>
                </w:tblCellMar>
              </w:tblPrEx>
              <w:trPr>
                <w:trHeight w:val="1040"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正式发表的期刊论文</w:t>
                  </w:r>
                </w:p>
              </w:tc>
              <w:tc>
                <w:tcPr>
                  <w:tcW w:w="12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A类期刊</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B类期刊</w:t>
                  </w:r>
                </w:p>
              </w:tc>
              <w:tc>
                <w:tcPr>
                  <w:tcW w:w="127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C类期刊（外文普通期刊除外）</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其他CSSCI期刊</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不含会议综述、短论等</w:t>
                  </w:r>
                </w:p>
              </w:tc>
            </w:tr>
            <w:tr>
              <w:tblPrEx>
                <w:tblCellMar>
                  <w:top w:w="0" w:type="dxa"/>
                  <w:left w:w="108" w:type="dxa"/>
                  <w:bottom w:w="0" w:type="dxa"/>
                  <w:right w:w="108" w:type="dxa"/>
                </w:tblCellMar>
              </w:tblPrEx>
              <w:trPr>
                <w:trHeight w:val="54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第一作者或通讯作者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第二或第三作者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本科生学术论坛论文</w:t>
                  </w: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一等奖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二等奖</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三等奖</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每年度只计1篇最高得分论文</w:t>
                  </w:r>
                </w:p>
              </w:tc>
            </w:tr>
            <w:tr>
              <w:tblPrEx>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第一作者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第二作者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第三作者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330" w:hRule="atLeast"/>
              </w:trPr>
              <w:tc>
                <w:tcPr>
                  <w:tcW w:w="8200" w:type="dxa"/>
                  <w:gridSpan w:val="7"/>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注：1. 论文第一作者单位必须是北京师范大学；2</w:t>
                  </w:r>
                  <w:r>
                    <w:rPr>
                      <w:rFonts w:ascii="宋体" w:hAnsi="宋体" w:cs="宋体"/>
                      <w:color w:val="000000"/>
                      <w:kern w:val="0"/>
                      <w:sz w:val="22"/>
                      <w:szCs w:val="22"/>
                    </w:rPr>
                    <w:t>.</w:t>
                  </w:r>
                  <w:r>
                    <w:rPr>
                      <w:rFonts w:hint="eastAsia" w:ascii="宋体" w:hAnsi="宋体" w:cs="宋体"/>
                      <w:color w:val="000000"/>
                      <w:kern w:val="0"/>
                      <w:sz w:val="22"/>
                      <w:szCs w:val="22"/>
                    </w:rPr>
                    <w:t>若第三作者（不含）之后的作者为通讯作者，则第三作者不加分；3</w:t>
                  </w:r>
                  <w:r>
                    <w:rPr>
                      <w:rFonts w:ascii="宋体" w:hAnsi="宋体" w:cs="宋体"/>
                      <w:color w:val="000000"/>
                      <w:kern w:val="0"/>
                      <w:sz w:val="22"/>
                      <w:szCs w:val="22"/>
                    </w:rPr>
                    <w:t>.</w:t>
                  </w:r>
                  <w:r>
                    <w:rPr>
                      <w:rFonts w:hint="eastAsia" w:ascii="宋体" w:hAnsi="宋体" w:cs="宋体"/>
                      <w:color w:val="000000"/>
                      <w:kern w:val="0"/>
                      <w:sz w:val="22"/>
                      <w:szCs w:val="22"/>
                    </w:rPr>
                    <w:t>正式发表的期刊论文必须是已经公开发表并已拿到正式出版刊物，CSSCI期刊目录可在学校科研院网站查询，</w:t>
                  </w:r>
                  <w:r>
                    <w:rPr>
                      <w:rFonts w:hint="eastAsia" w:ascii="宋体" w:hAnsi="宋体" w:cs="宋体"/>
                      <w:color w:val="000000"/>
                      <w:kern w:val="0"/>
                      <w:sz w:val="22"/>
                      <w:szCs w:val="22"/>
                      <w:lang w:val="en-US" w:eastAsia="zh-CN"/>
                    </w:rPr>
                    <w:t>h</w:t>
                  </w:r>
                  <w:r>
                    <w:rPr>
                      <w:rFonts w:hint="eastAsia" w:ascii="宋体" w:hAnsi="宋体" w:cs="宋体"/>
                      <w:color w:val="000000"/>
                      <w:kern w:val="0"/>
                      <w:sz w:val="22"/>
                      <w:szCs w:val="22"/>
                    </w:rPr>
                    <w:t>ttp://keyanyuan.bnu.edu.cn/bszn/qt_bszn/index.html</w:t>
                  </w:r>
                </w:p>
              </w:tc>
            </w:tr>
          </w:tbl>
          <w:p>
            <w:pPr>
              <w:snapToGrid w:val="0"/>
              <w:spacing w:line="340" w:lineRule="exac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r>
              <w:rPr>
                <w:rFonts w:hint="eastAsia" w:ascii="宋体" w:hAnsi="宋体"/>
                <w:b/>
                <w:kern w:val="0"/>
                <w:sz w:val="24"/>
              </w:rPr>
              <w:t>（四）学科竞赛</w:t>
            </w:r>
          </w:p>
        </w:tc>
        <w:tc>
          <w:tcPr>
            <w:tcW w:w="8153" w:type="dxa"/>
            <w:gridSpan w:val="2"/>
            <w:noWrap w:val="0"/>
            <w:vAlign w:val="center"/>
          </w:tcPr>
          <w:tbl>
            <w:tblPr>
              <w:tblStyle w:val="10"/>
              <w:tblW w:w="7774" w:type="dxa"/>
              <w:tblInd w:w="0" w:type="dxa"/>
              <w:tblLayout w:type="autofit"/>
              <w:tblCellMar>
                <w:top w:w="0" w:type="dxa"/>
                <w:left w:w="108" w:type="dxa"/>
                <w:bottom w:w="0" w:type="dxa"/>
                <w:right w:w="108" w:type="dxa"/>
              </w:tblCellMar>
            </w:tblPr>
            <w:tblGrid>
              <w:gridCol w:w="980"/>
              <w:gridCol w:w="2541"/>
              <w:gridCol w:w="993"/>
              <w:gridCol w:w="1134"/>
              <w:gridCol w:w="992"/>
              <w:gridCol w:w="1134"/>
            </w:tblGrid>
            <w:tr>
              <w:tblPrEx>
                <w:tblCellMar>
                  <w:top w:w="0" w:type="dxa"/>
                  <w:left w:w="108" w:type="dxa"/>
                  <w:bottom w:w="0" w:type="dxa"/>
                  <w:right w:w="108" w:type="dxa"/>
                </w:tblCellMar>
              </w:tblPrEx>
              <w:trPr>
                <w:trHeight w:val="399"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学校认可的各类学科竞赛</w:t>
                  </w:r>
                </w:p>
              </w:tc>
              <w:tc>
                <w:tcPr>
                  <w:tcW w:w="254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特等奖</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一等奖</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二等奖</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三等奖</w:t>
                  </w:r>
                </w:p>
              </w:tc>
            </w:tr>
            <w:tr>
              <w:tblPrEx>
                <w:tblCellMar>
                  <w:top w:w="0" w:type="dxa"/>
                  <w:left w:w="108" w:type="dxa"/>
                  <w:bottom w:w="0" w:type="dxa"/>
                  <w:right w:w="108" w:type="dxa"/>
                </w:tblCellMar>
              </w:tblPrEx>
              <w:trPr>
                <w:trHeight w:val="278"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全国大学生数学竞赛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357"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全国大学生数学建模竞赛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281"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美国数学建模竞赛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3（O）</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3（F）</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2.5（M）</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2（H）</w:t>
                  </w:r>
                </w:p>
              </w:tc>
            </w:tr>
            <w:tr>
              <w:tblPrEx>
                <w:tblCellMar>
                  <w:top w:w="0" w:type="dxa"/>
                  <w:left w:w="108" w:type="dxa"/>
                  <w:bottom w:w="0" w:type="dxa"/>
                  <w:right w:w="108" w:type="dxa"/>
                </w:tblCellMar>
              </w:tblPrEx>
              <w:trPr>
                <w:trHeight w:val="503"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IMA管理会计案例大赛（全国赛）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403"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“创青春”全国大学生创业竞赛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601"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“挑战杯”全国大学生课外学习科技作品竞赛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463"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中国‘互联网+’大学生创新创业大赛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8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全国大学生英语竞赛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16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全国英语演讲大赛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ACM国际大学生程序设计大赛（国内外赛点）</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131"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中国智能机器人大赛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微软大学生嵌入式系统竞赛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全国仿真大奖赛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全国大学生化学实验邀请赛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214"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全国师范院校学生语言文字基本功大赛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全国高校音乐教育专业基本功大赛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642"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中国‘互联网+’大学生创新创业大赛市级比赛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94"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京师杯学术论文竞赛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北师大程序设计大赛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北师大数学建模竞赛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北师大大学生英语演讲比赛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47"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中国‘互联网+’大学生创新创业大赛校级比赛</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rPr>
                    <w:t>0.5</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47"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color w:val="000000"/>
                      <w:kern w:val="0"/>
                      <w:sz w:val="22"/>
                      <w:szCs w:val="22"/>
                      <w:lang w:val="en-US" w:eastAsia="zh-CN" w:bidi="ar-SA"/>
                    </w:rPr>
                  </w:pPr>
                  <w:r>
                    <w:rPr>
                      <w:rFonts w:hint="eastAsia" w:ascii="宋体" w:hAnsi="宋体" w:eastAsia="宋体" w:cs="宋体"/>
                      <w:sz w:val="21"/>
                      <w:szCs w:val="24"/>
                      <w:vertAlign w:val="baseline"/>
                    </w:rPr>
                    <w:t>中国大学生人力资源职业技能大赛（HRU）</w:t>
                  </w:r>
                </w:p>
              </w:tc>
              <w:tc>
                <w:tcPr>
                  <w:tcW w:w="99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rPr>
                    <w:t>1.6</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2"/>
                      <w:szCs w:val="22"/>
                      <w:lang w:val="en-US" w:eastAsia="zh-CN" w:bidi="ar-SA"/>
                    </w:rPr>
                  </w:pPr>
                  <w:r>
                    <w:rPr>
                      <w:rFonts w:hint="eastAsia" w:ascii="宋体" w:hAnsi="宋体" w:cs="宋体"/>
                      <w:color w:val="000000"/>
                      <w:kern w:val="0"/>
                      <w:sz w:val="22"/>
                      <w:szCs w:val="22"/>
                      <w:lang w:val="en-US" w:eastAsia="zh-CN"/>
                    </w:rPr>
                    <w:t>1.2</w:t>
                  </w:r>
                </w:p>
              </w:tc>
              <w:tc>
                <w:tcPr>
                  <w:tcW w:w="113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0.8</w:t>
                  </w:r>
                </w:p>
              </w:tc>
            </w:tr>
            <w:tr>
              <w:tblPrEx>
                <w:tblCellMar>
                  <w:top w:w="0" w:type="dxa"/>
                  <w:left w:w="108" w:type="dxa"/>
                  <w:bottom w:w="0" w:type="dxa"/>
                  <w:right w:w="108" w:type="dxa"/>
                </w:tblCellMar>
              </w:tblPrEx>
              <w:trPr>
                <w:trHeight w:val="659" w:hRule="atLeast"/>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其他省市级以上专业相关竞赛获奖</w:t>
                  </w:r>
                </w:p>
              </w:tc>
              <w:tc>
                <w:tcPr>
                  <w:tcW w:w="25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特等奖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一等奖</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二等奖</w:t>
                  </w:r>
                </w:p>
              </w:tc>
              <w:tc>
                <w:tcPr>
                  <w:tcW w:w="113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三等奖</w:t>
                  </w:r>
                </w:p>
              </w:tc>
            </w:tr>
            <w:tr>
              <w:tblPrEx>
                <w:tblCellMar>
                  <w:top w:w="0" w:type="dxa"/>
                  <w:left w:w="108" w:type="dxa"/>
                  <w:bottom w:w="0" w:type="dxa"/>
                  <w:right w:w="108" w:type="dxa"/>
                </w:tblCellMar>
              </w:tblPrEx>
              <w:trPr>
                <w:trHeight w:val="419" w:hRule="atLeast"/>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国家级</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Cs w:val="21"/>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3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w:t>
                  </w:r>
                </w:p>
              </w:tc>
            </w:tr>
            <w:tr>
              <w:tblPrEx>
                <w:tblCellMar>
                  <w:top w:w="0" w:type="dxa"/>
                  <w:left w:w="108" w:type="dxa"/>
                  <w:bottom w:w="0" w:type="dxa"/>
                  <w:right w:w="108" w:type="dxa"/>
                </w:tblCellMar>
              </w:tblPrEx>
              <w:trPr>
                <w:trHeight w:val="518" w:hRule="atLeast"/>
              </w:trPr>
              <w:tc>
                <w:tcPr>
                  <w:tcW w:w="98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254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市级</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Cs w:val="21"/>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0.5</w:t>
                  </w:r>
                </w:p>
              </w:tc>
            </w:tr>
            <w:tr>
              <w:tblPrEx>
                <w:tblCellMar>
                  <w:top w:w="0" w:type="dxa"/>
                  <w:left w:w="108" w:type="dxa"/>
                  <w:bottom w:w="0" w:type="dxa"/>
                  <w:right w:w="108" w:type="dxa"/>
                </w:tblCellMar>
              </w:tblPrEx>
              <w:trPr>
                <w:trHeight w:val="518" w:hRule="atLeast"/>
              </w:trPr>
              <w:tc>
                <w:tcPr>
                  <w:tcW w:w="98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2"/>
                      <w:szCs w:val="22"/>
                    </w:rPr>
                  </w:pPr>
                </w:p>
              </w:tc>
              <w:tc>
                <w:tcPr>
                  <w:tcW w:w="6794"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注：其他省市级竞赛获奖提交证明材料由学院审核认定，竞赛获奖计前五位成员，同一年度同一奖项取最高分加分</w:t>
                  </w:r>
                  <w:r>
                    <w:rPr>
                      <w:rFonts w:ascii="宋体" w:hAnsi="宋体" w:cs="宋体"/>
                      <w:color w:val="000000"/>
                      <w:kern w:val="0"/>
                      <w:sz w:val="22"/>
                      <w:szCs w:val="22"/>
                    </w:rPr>
                    <w:t xml:space="preserve"> </w:t>
                  </w:r>
                </w:p>
              </w:tc>
            </w:tr>
          </w:tbl>
          <w:p>
            <w:pPr>
              <w:pStyle w:val="7"/>
              <w:adjustRightInd w:val="0"/>
              <w:snapToGrid w:val="0"/>
              <w:spacing w:before="0" w:beforeLines="0" w:after="0" w:line="360" w:lineRule="exact"/>
              <w:ind w:left="0" w:leftChars="0" w:firstLine="0" w:firstLineChars="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noWrap w:val="0"/>
            <w:vAlign w:val="center"/>
          </w:tcPr>
          <w:p>
            <w:pPr>
              <w:pStyle w:val="7"/>
              <w:adjustRightInd w:val="0"/>
              <w:snapToGrid w:val="0"/>
              <w:spacing w:before="0" w:beforeLines="0" w:after="312" w:line="360" w:lineRule="auto"/>
              <w:ind w:left="0" w:leftChars="0" w:firstLine="0" w:firstLineChars="0"/>
              <w:jc w:val="center"/>
              <w:rPr>
                <w:rFonts w:hint="eastAsia" w:ascii="宋体" w:hAnsi="宋体"/>
                <w:b/>
                <w:kern w:val="0"/>
                <w:sz w:val="24"/>
              </w:rPr>
            </w:pPr>
            <w:r>
              <w:rPr>
                <w:rFonts w:hint="eastAsia" w:ascii="宋体" w:hAnsi="宋体"/>
                <w:b/>
                <w:kern w:val="0"/>
                <w:sz w:val="24"/>
              </w:rPr>
              <w:t>（五）</w:t>
            </w:r>
            <w:r>
              <w:rPr>
                <w:rFonts w:hint="eastAsia" w:ascii="宋体" w:hAnsi="宋体"/>
                <w:b/>
                <w:sz w:val="24"/>
              </w:rPr>
              <w:t>国际化经历</w:t>
            </w:r>
          </w:p>
        </w:tc>
        <w:tc>
          <w:tcPr>
            <w:tcW w:w="8153" w:type="dxa"/>
            <w:gridSpan w:val="2"/>
            <w:noWrap w:val="0"/>
            <w:vAlign w:val="center"/>
          </w:tcPr>
          <w:tbl>
            <w:tblPr>
              <w:tblStyle w:val="10"/>
              <w:tblW w:w="7220" w:type="dxa"/>
              <w:tblInd w:w="0" w:type="dxa"/>
              <w:tblLayout w:type="autofit"/>
              <w:tblCellMar>
                <w:top w:w="0" w:type="dxa"/>
                <w:left w:w="108" w:type="dxa"/>
                <w:bottom w:w="0" w:type="dxa"/>
                <w:right w:w="108" w:type="dxa"/>
              </w:tblCellMar>
            </w:tblPr>
            <w:tblGrid>
              <w:gridCol w:w="980"/>
              <w:gridCol w:w="1439"/>
              <w:gridCol w:w="1095"/>
              <w:gridCol w:w="1095"/>
              <w:gridCol w:w="1235"/>
              <w:gridCol w:w="1376"/>
            </w:tblGrid>
            <w:tr>
              <w:tblPrEx>
                <w:tblCellMar>
                  <w:top w:w="0" w:type="dxa"/>
                  <w:left w:w="108" w:type="dxa"/>
                  <w:bottom w:w="0" w:type="dxa"/>
                  <w:right w:w="108" w:type="dxa"/>
                </w:tblCellMar>
              </w:tblPrEx>
              <w:trPr>
                <w:trHeight w:val="450" w:hRule="atLeast"/>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w:t>
                  </w:r>
                </w:p>
              </w:tc>
              <w:tc>
                <w:tcPr>
                  <w:tcW w:w="14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参加哈佛模联并赴美竞赛成员</w:t>
                  </w:r>
                </w:p>
              </w:tc>
              <w:tc>
                <w:tcPr>
                  <w:tcW w:w="480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在学期间到海外学习或实践</w:t>
                  </w:r>
                </w:p>
              </w:tc>
            </w:tr>
            <w:tr>
              <w:tblPrEx>
                <w:tblCellMar>
                  <w:top w:w="0" w:type="dxa"/>
                  <w:left w:w="108" w:type="dxa"/>
                  <w:bottom w:w="0" w:type="dxa"/>
                  <w:right w:w="108" w:type="dxa"/>
                </w:tblCellMar>
              </w:tblPrEx>
              <w:trPr>
                <w:trHeight w:val="480" w:hRule="atLeast"/>
              </w:trPr>
              <w:tc>
                <w:tcPr>
                  <w:tcW w:w="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highlight w:val="none"/>
                    </w:rPr>
                  </w:pPr>
                </w:p>
              </w:tc>
              <w:tc>
                <w:tcPr>
                  <w:tcW w:w="1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highlight w:val="none"/>
                    </w:rPr>
                  </w:pP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2-3个月</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4-6个月</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7-11个月</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1年及以上</w:t>
                  </w:r>
                </w:p>
              </w:tc>
            </w:tr>
            <w:tr>
              <w:tblPrEx>
                <w:tblCellMar>
                  <w:top w:w="0" w:type="dxa"/>
                  <w:left w:w="108" w:type="dxa"/>
                  <w:bottom w:w="0" w:type="dxa"/>
                  <w:right w:w="108" w:type="dxa"/>
                </w:tblCellMar>
              </w:tblPrEx>
              <w:trPr>
                <w:trHeight w:val="2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加分</w:t>
                  </w:r>
                </w:p>
              </w:tc>
              <w:tc>
                <w:tcPr>
                  <w:tcW w:w="14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0.4</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0.5</w:t>
                  </w:r>
                </w:p>
              </w:tc>
              <w:tc>
                <w:tcPr>
                  <w:tcW w:w="10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12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r>
          </w:tbl>
          <w:p>
            <w:pPr>
              <w:pStyle w:val="7"/>
              <w:adjustRightInd w:val="0"/>
              <w:snapToGrid w:val="0"/>
              <w:spacing w:before="0" w:beforeLines="0" w:after="0" w:line="360" w:lineRule="exact"/>
              <w:ind w:left="0" w:leftChars="0" w:firstLine="0" w:firstLineChars="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07" w:type="dxa"/>
            <w:noWrap w:val="0"/>
            <w:vAlign w:val="center"/>
          </w:tcPr>
          <w:p>
            <w:pPr>
              <w:pStyle w:val="7"/>
              <w:adjustRightInd w:val="0"/>
              <w:snapToGrid w:val="0"/>
              <w:spacing w:before="0" w:beforeLines="0" w:after="312" w:line="240" w:lineRule="auto"/>
              <w:ind w:left="0" w:leftChars="0" w:firstLine="0" w:firstLineChars="0"/>
              <w:jc w:val="center"/>
              <w:rPr>
                <w:rFonts w:hint="eastAsia" w:ascii="宋体" w:hAnsi="宋体"/>
                <w:b/>
                <w:color w:val="FF0000"/>
                <w:sz w:val="24"/>
              </w:rPr>
            </w:pPr>
            <w:r>
              <w:rPr>
                <w:rFonts w:hint="eastAsia" w:ascii="宋体" w:hAnsi="宋体"/>
                <w:b/>
                <w:color w:val="000000"/>
                <w:kern w:val="0"/>
                <w:sz w:val="24"/>
              </w:rPr>
              <w:t>（六）</w:t>
            </w:r>
            <w:r>
              <w:rPr>
                <w:rFonts w:hint="eastAsia" w:ascii="宋体" w:hAnsi="宋体"/>
                <w:b/>
                <w:color w:val="000000"/>
                <w:sz w:val="24"/>
              </w:rPr>
              <w:t>社会服务</w:t>
            </w:r>
          </w:p>
        </w:tc>
        <w:tc>
          <w:tcPr>
            <w:tcW w:w="8153" w:type="dxa"/>
            <w:gridSpan w:val="2"/>
            <w:noWrap w:val="0"/>
            <w:vAlign w:val="center"/>
          </w:tcPr>
          <w:p>
            <w:pPr>
              <w:pStyle w:val="7"/>
              <w:adjustRightInd w:val="0"/>
              <w:snapToGrid w:val="0"/>
              <w:spacing w:before="156" w:after="0" w:line="240" w:lineRule="auto"/>
              <w:ind w:firstLine="420"/>
              <w:jc w:val="left"/>
              <w:rPr>
                <w:rFonts w:hint="default" w:ascii="宋体" w:hAnsi="宋体" w:eastAsiaTheme="minorEastAsia"/>
                <w:color w:val="000000"/>
                <w:kern w:val="0"/>
                <w:szCs w:val="21"/>
                <w:lang w:val="en-US" w:eastAsia="zh-CN"/>
              </w:rPr>
            </w:pPr>
            <w:r>
              <w:rPr>
                <w:rFonts w:hint="eastAsia" w:ascii="宋体" w:hAnsi="宋体"/>
                <w:color w:val="000000"/>
                <w:kern w:val="0"/>
                <w:sz w:val="22"/>
                <w:szCs w:val="22"/>
                <w:lang w:val="en-US" w:eastAsia="zh-CN"/>
              </w:rPr>
              <w:t>由书院组织认定。</w:t>
            </w:r>
          </w:p>
        </w:tc>
      </w:tr>
    </w:tbl>
    <w:p>
      <w:pPr>
        <w:pStyle w:val="7"/>
        <w:adjustRightInd w:val="0"/>
        <w:snapToGrid w:val="0"/>
        <w:spacing w:before="0" w:beforeLines="0" w:after="0" w:line="400" w:lineRule="exact"/>
        <w:ind w:left="0" w:leftChars="0" w:firstLine="482"/>
        <w:rPr>
          <w:rFonts w:hint="eastAsia" w:ascii="宋体" w:hAnsi="宋体"/>
          <w:kern w:val="0"/>
          <w:sz w:val="24"/>
        </w:rPr>
      </w:pPr>
      <w:r>
        <w:rPr>
          <w:rFonts w:hint="eastAsia" w:ascii="宋体" w:hAnsi="宋体"/>
          <w:b/>
          <w:kern w:val="0"/>
          <w:sz w:val="24"/>
        </w:rPr>
        <w:t>备注:</w:t>
      </w:r>
      <w:r>
        <w:rPr>
          <w:rFonts w:hint="eastAsia" w:ascii="宋体" w:hAnsi="宋体"/>
          <w:kern w:val="0"/>
          <w:sz w:val="24"/>
        </w:rPr>
        <w:t xml:space="preserve"> </w:t>
      </w:r>
    </w:p>
    <w:p>
      <w:pPr>
        <w:pStyle w:val="7"/>
        <w:adjustRightInd w:val="0"/>
        <w:snapToGrid w:val="0"/>
        <w:spacing w:before="0" w:beforeLines="0" w:after="0" w:line="400" w:lineRule="exact"/>
        <w:ind w:left="0" w:leftChars="0" w:firstLine="480"/>
        <w:rPr>
          <w:rFonts w:hint="eastAsia" w:ascii="宋体" w:hAnsi="宋体"/>
          <w:color w:val="FF0000"/>
          <w:kern w:val="0"/>
          <w:sz w:val="24"/>
        </w:rPr>
      </w:pPr>
      <w:r>
        <w:rPr>
          <w:rFonts w:hint="eastAsia" w:ascii="宋体" w:hAnsi="宋体"/>
          <w:kern w:val="0"/>
          <w:sz w:val="24"/>
        </w:rPr>
        <w:t>1.根据</w:t>
      </w:r>
      <w:r>
        <w:rPr>
          <w:rFonts w:ascii="宋体" w:hAnsi="宋体"/>
          <w:kern w:val="0"/>
          <w:sz w:val="24"/>
        </w:rPr>
        <w:t>《</w:t>
      </w:r>
      <w:r>
        <w:rPr>
          <w:rFonts w:hint="eastAsia" w:ascii="宋体" w:hAnsi="宋体"/>
          <w:kern w:val="0"/>
          <w:sz w:val="24"/>
        </w:rPr>
        <w:t>北京师范大学</w:t>
      </w:r>
      <w:r>
        <w:rPr>
          <w:rFonts w:ascii="宋体" w:hAnsi="宋体"/>
          <w:kern w:val="0"/>
          <w:sz w:val="24"/>
        </w:rPr>
        <w:t>本科生成绩管理办法》</w:t>
      </w:r>
      <w:r>
        <w:rPr>
          <w:rFonts w:hint="eastAsia" w:ascii="宋体" w:hAnsi="宋体"/>
          <w:kern w:val="0"/>
          <w:sz w:val="24"/>
        </w:rPr>
        <w:t>（</w:t>
      </w:r>
      <w:r>
        <w:rPr>
          <w:rFonts w:ascii="宋体" w:hAnsi="宋体"/>
          <w:kern w:val="0"/>
          <w:sz w:val="24"/>
        </w:rPr>
        <w:t>师教〔2019〕5 号</w:t>
      </w:r>
      <w:r>
        <w:rPr>
          <w:rFonts w:hint="eastAsia" w:ascii="宋体" w:hAnsi="宋体"/>
          <w:kern w:val="0"/>
          <w:sz w:val="24"/>
        </w:rPr>
        <w:t>）规定</w:t>
      </w:r>
      <w:r>
        <w:rPr>
          <w:rFonts w:ascii="宋体" w:hAnsi="宋体"/>
          <w:kern w:val="0"/>
          <w:sz w:val="24"/>
        </w:rPr>
        <w:t>，</w:t>
      </w:r>
      <w:r>
        <w:rPr>
          <w:rFonts w:hint="eastAsia" w:ascii="宋体" w:hAnsi="宋体"/>
          <w:kern w:val="0"/>
          <w:sz w:val="24"/>
        </w:rPr>
        <w:t>《北京师范大学学生原始成绩表》如实记载学生在课程修读过程中出现的各类情况，包括但不限于重修、违纪、旷考、取消资格等，是校内学籍处理、奖学金评定、申请推免研究生资格等工作的依据，</w:t>
      </w:r>
      <w:r>
        <w:rPr>
          <w:rFonts w:ascii="宋体" w:hAnsi="宋体"/>
          <w:kern w:val="0"/>
          <w:sz w:val="24"/>
        </w:rPr>
        <w:t>学院推免以原始成绩表为准</w:t>
      </w:r>
      <w:r>
        <w:rPr>
          <w:rFonts w:hint="eastAsia" w:ascii="宋体" w:hAnsi="宋体"/>
          <w:kern w:val="0"/>
          <w:sz w:val="24"/>
        </w:rPr>
        <w:t>；学生须在前六个学期修读完成推免专业</w:t>
      </w:r>
      <w:r>
        <w:rPr>
          <w:rFonts w:ascii="宋体" w:hAnsi="宋体"/>
          <w:kern w:val="0"/>
          <w:sz w:val="24"/>
        </w:rPr>
        <w:t>排名计入的所有课程，</w:t>
      </w:r>
      <w:r>
        <w:rPr>
          <w:rFonts w:hint="eastAsia" w:ascii="宋体" w:hAnsi="宋体"/>
          <w:kern w:val="0"/>
          <w:sz w:val="24"/>
        </w:rPr>
        <w:t>无故不修读或推迟修读则取消其保研资格。</w:t>
      </w:r>
    </w:p>
    <w:p>
      <w:pPr>
        <w:spacing w:line="360" w:lineRule="auto"/>
        <w:ind w:firstLine="480" w:firstLineChars="200"/>
        <w:rPr>
          <w:rFonts w:hint="eastAsia" w:ascii="宋体" w:hAnsi="宋体"/>
          <w:kern w:val="0"/>
          <w:sz w:val="24"/>
        </w:rPr>
      </w:pPr>
      <w:r>
        <w:rPr>
          <w:rFonts w:ascii="宋体" w:hAnsi="宋体"/>
          <w:kern w:val="0"/>
          <w:sz w:val="24"/>
        </w:rPr>
        <w:t xml:space="preserve">2. </w:t>
      </w:r>
      <w:r>
        <w:rPr>
          <w:rFonts w:hint="eastAsia" w:ascii="宋体" w:hAnsi="宋体"/>
          <w:kern w:val="0"/>
          <w:sz w:val="24"/>
        </w:rPr>
        <w:t>按照学校规定，科研创新项目中，</w:t>
      </w:r>
      <w:r>
        <w:rPr>
          <w:rFonts w:hint="eastAsia" w:ascii="宋体" w:hAnsi="宋体" w:cs="宋体"/>
          <w:kern w:val="0"/>
          <w:sz w:val="24"/>
        </w:rPr>
        <w:t>国家级创业实践、创新训练和创业训练项目和校级本科生科研基金项目，不累加计分只取最高分，最高分值为3分，此外科研项目分值只对项目申请和答辩时的初始人员加分，在项目批准之后加入的成员将不计此项分值。</w:t>
      </w:r>
      <w:r>
        <w:rPr>
          <w:rFonts w:hint="eastAsia" w:ascii="宋体" w:hAnsi="宋体"/>
          <w:sz w:val="24"/>
        </w:rPr>
        <w:t>各类公开发表的论文</w:t>
      </w:r>
      <w:r>
        <w:rPr>
          <w:rFonts w:hint="eastAsia" w:ascii="宋体" w:hAnsi="宋体" w:cs="宋体"/>
          <w:kern w:val="0"/>
          <w:sz w:val="24"/>
        </w:rPr>
        <w:t>最高分值为3分，本科生学术论坛获奖论文，不累加计分只取最高分。学科竞赛项目，</w:t>
      </w:r>
      <w:r>
        <w:rPr>
          <w:rFonts w:hint="eastAsia" w:ascii="宋体" w:hAnsi="宋体"/>
          <w:kern w:val="0"/>
          <w:sz w:val="24"/>
        </w:rPr>
        <w:t>同一系列的学科竞赛只取最高级别加分，最高分值为3分。社会服务项目最高分值为4分。以上各项如未达到最高分值，按实际得分计算，如超过最高分值则按最高分值计算。</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theme="minorBidi"/>
          <w:kern w:val="44"/>
          <w:sz w:val="32"/>
          <w:szCs w:val="24"/>
          <w:lang w:val="en-US" w:eastAsia="zh-CN" w:bidi="ar-SA"/>
        </w:rPr>
      </w:pPr>
      <w:r>
        <w:rPr>
          <w:rFonts w:hint="eastAsia" w:ascii="黑体" w:hAnsi="黑体" w:eastAsia="黑体" w:cstheme="minorBidi"/>
          <w:kern w:val="44"/>
          <w:sz w:val="32"/>
          <w:szCs w:val="24"/>
          <w:lang w:val="en-US" w:eastAsia="zh-CN" w:bidi="ar-SA"/>
        </w:rPr>
        <w:t>四、申请程序</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1.学院成立推荐工作组制定工作细则，公示并送教务</w:t>
      </w:r>
      <w:r>
        <w:rPr>
          <w:rFonts w:hint="eastAsia" w:ascii="宋体" w:hAnsi="宋体" w:cs="宋体"/>
          <w:kern w:val="0"/>
          <w:sz w:val="24"/>
          <w:lang w:val="en-US" w:eastAsia="zh-CN"/>
        </w:rPr>
        <w:t>部</w:t>
      </w:r>
      <w:r>
        <w:rPr>
          <w:rFonts w:hint="eastAsia" w:ascii="宋体" w:hAnsi="宋体" w:cs="宋体"/>
          <w:kern w:val="0"/>
          <w:sz w:val="24"/>
        </w:rPr>
        <w:t xml:space="preserve">备案。 </w:t>
      </w:r>
    </w:p>
    <w:p>
      <w:pPr>
        <w:widowControl/>
        <w:spacing w:line="400" w:lineRule="exact"/>
        <w:ind w:firstLine="600" w:firstLineChars="250"/>
        <w:jc w:val="left"/>
        <w:rPr>
          <w:rFonts w:hint="eastAsia" w:ascii="宋体" w:hAnsi="宋体" w:cs="宋体"/>
          <w:color w:val="000000"/>
          <w:kern w:val="0"/>
          <w:sz w:val="24"/>
        </w:rPr>
      </w:pPr>
      <w:r>
        <w:rPr>
          <w:rFonts w:hint="eastAsia" w:ascii="宋体" w:hAnsi="宋体" w:cs="宋体"/>
          <w:kern w:val="0"/>
          <w:sz w:val="24"/>
        </w:rPr>
        <w:t>2.</w:t>
      </w:r>
      <w:r>
        <w:rPr>
          <w:rFonts w:hint="eastAsia" w:ascii="宋体" w:hAnsi="宋体" w:cs="宋体"/>
          <w:kern w:val="0"/>
          <w:sz w:val="24"/>
          <w:lang w:val="en-US" w:eastAsia="zh-CN"/>
        </w:rPr>
        <w:t>9月初（具体时间待教务部通知）</w:t>
      </w:r>
      <w:r>
        <w:rPr>
          <w:rFonts w:hint="eastAsia" w:ascii="宋体" w:hAnsi="宋体" w:cs="宋体"/>
          <w:color w:val="000000"/>
          <w:kern w:val="0"/>
          <w:sz w:val="24"/>
        </w:rPr>
        <w:t>提交材料到</w:t>
      </w:r>
      <w:r>
        <w:rPr>
          <w:rFonts w:hint="eastAsia" w:ascii="宋体" w:hAnsi="宋体" w:cs="宋体"/>
          <w:color w:val="000000"/>
          <w:kern w:val="0"/>
          <w:sz w:val="24"/>
          <w:lang w:val="en-US" w:eastAsia="zh-CN"/>
        </w:rPr>
        <w:t>励耘A211</w:t>
      </w:r>
      <w:r>
        <w:rPr>
          <w:rFonts w:hint="eastAsia" w:ascii="宋体" w:hAnsi="宋体" w:cs="宋体"/>
          <w:color w:val="000000"/>
          <w:kern w:val="0"/>
          <w:sz w:val="24"/>
        </w:rPr>
        <w:t>（过时不再接收），提交的纸质版材料有：《推荐免试研究生申请表》、《推荐免试研究生资格审查情况一览表》（教务部网站下载）和证明材料原件及复印件。</w:t>
      </w:r>
    </w:p>
    <w:p>
      <w:pPr>
        <w:widowControl/>
        <w:spacing w:line="400" w:lineRule="exact"/>
        <w:ind w:firstLine="600" w:firstLineChars="250"/>
        <w:jc w:val="left"/>
        <w:rPr>
          <w:rFonts w:hint="eastAsia" w:ascii="黑体" w:hAnsi="黑体" w:eastAsia="黑体" w:cs="宋体"/>
          <w:kern w:val="0"/>
          <w:sz w:val="24"/>
        </w:rPr>
      </w:pPr>
      <w:r>
        <w:rPr>
          <w:rFonts w:hint="eastAsia" w:ascii="黑体" w:hAnsi="黑体" w:eastAsia="黑体" w:cs="宋体"/>
          <w:kern w:val="0"/>
          <w:sz w:val="24"/>
        </w:rPr>
        <w:t>注：（1）各类公开发表的论文，提交刊物原件及复印件（复印件含刊物封皮、目录及论文）；（2）本科科研等项目，只需提交结项书的封皮页和成员情况页；（3）各类竞赛、奖励和境外交流经历，须提交原件。</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 xml:space="preserve"> 3.学院审核，并按综合成绩排序、公示并报教务处审核，在公示期内，有异议者可实名向学院推荐工作组提出书面意见，书面意见应包括持异议者和被异议者的真实姓名及所异议的基本事实等信息，学院推荐工作组将予以核实和处理。</w:t>
      </w:r>
    </w:p>
    <w:p>
      <w:pPr>
        <w:widowControl/>
        <w:spacing w:line="400" w:lineRule="exact"/>
        <w:ind w:firstLine="600" w:firstLineChars="250"/>
        <w:jc w:val="left"/>
        <w:rPr>
          <w:rFonts w:hint="eastAsia" w:ascii="宋体" w:hAnsi="宋体" w:cs="宋体"/>
          <w:kern w:val="0"/>
          <w:sz w:val="24"/>
        </w:rPr>
      </w:pPr>
      <w:r>
        <w:rPr>
          <w:rFonts w:hint="eastAsia" w:ascii="宋体" w:hAnsi="宋体" w:cs="宋体"/>
          <w:kern w:val="0"/>
          <w:sz w:val="24"/>
        </w:rPr>
        <w:t>4.学校推荐工作组对推荐名单进行复审，确定正式名单，上网公示。</w:t>
      </w:r>
    </w:p>
    <w:p>
      <w:pPr>
        <w:widowControl/>
        <w:spacing w:line="400" w:lineRule="exact"/>
        <w:ind w:firstLine="600" w:firstLineChars="250"/>
        <w:jc w:val="left"/>
        <w:rPr>
          <w:rFonts w:hint="eastAsia" w:ascii="宋体" w:hAnsi="宋体" w:cs="宋体"/>
          <w:b/>
          <w:bCs/>
          <w:kern w:val="0"/>
          <w:sz w:val="28"/>
          <w:szCs w:val="28"/>
        </w:rPr>
      </w:pPr>
      <w:r>
        <w:rPr>
          <w:rFonts w:hint="eastAsia" w:ascii="宋体" w:hAnsi="宋体" w:cs="宋体"/>
          <w:kern w:val="0"/>
          <w:sz w:val="24"/>
        </w:rPr>
        <w:t>5.具有正式推荐资格的学生到学院领取《推荐免试研究生资格证明》，每人一份。</w:t>
      </w:r>
    </w:p>
    <w:p>
      <w:pPr>
        <w:spacing w:line="360" w:lineRule="auto"/>
        <w:jc w:val="right"/>
        <w:rPr>
          <w:rFonts w:hint="eastAsia" w:ascii="宋体" w:hAnsi="宋体" w:eastAsia="宋体" w:cs="宋体"/>
          <w:sz w:val="24"/>
          <w:szCs w:val="32"/>
          <w:lang w:val="en-US" w:eastAsia="zh-CN"/>
        </w:rPr>
      </w:pPr>
    </w:p>
    <w:p>
      <w:pPr>
        <w:spacing w:line="360" w:lineRule="auto"/>
        <w:jc w:val="righ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湾区国际商学院</w:t>
      </w:r>
    </w:p>
    <w:p>
      <w:pPr>
        <w:spacing w:line="360" w:lineRule="auto"/>
        <w:jc w:val="right"/>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2023年7月25</w:t>
      </w:r>
      <w:bookmarkStart w:id="0" w:name="_GoBack"/>
      <w:bookmarkEnd w:id="0"/>
      <w:r>
        <w:rPr>
          <w:rFonts w:hint="eastAsia" w:ascii="宋体" w:hAnsi="宋体" w:eastAsia="宋体" w:cs="宋体"/>
          <w:sz w:val="24"/>
          <w:szCs w:val="32"/>
          <w:highlight w:val="none"/>
          <w:lang w:val="en-US" w:eastAsia="zh-CN"/>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0DD7D8C"/>
    <w:rsid w:val="025263E9"/>
    <w:rsid w:val="052471CE"/>
    <w:rsid w:val="08276BC3"/>
    <w:rsid w:val="0AD92EF0"/>
    <w:rsid w:val="0BBA5C9C"/>
    <w:rsid w:val="0FDC19E8"/>
    <w:rsid w:val="13440EE3"/>
    <w:rsid w:val="13D36C5E"/>
    <w:rsid w:val="14E31216"/>
    <w:rsid w:val="16F4201D"/>
    <w:rsid w:val="1B0D6EF9"/>
    <w:rsid w:val="1C610743"/>
    <w:rsid w:val="22AA5791"/>
    <w:rsid w:val="2471674B"/>
    <w:rsid w:val="2C27270D"/>
    <w:rsid w:val="2EE1520F"/>
    <w:rsid w:val="2F4C3863"/>
    <w:rsid w:val="33784EF4"/>
    <w:rsid w:val="337E053C"/>
    <w:rsid w:val="3B7732B9"/>
    <w:rsid w:val="428D6B73"/>
    <w:rsid w:val="45F66A69"/>
    <w:rsid w:val="460123B2"/>
    <w:rsid w:val="4DB027B0"/>
    <w:rsid w:val="4E1648B8"/>
    <w:rsid w:val="4ED371A3"/>
    <w:rsid w:val="51975D8C"/>
    <w:rsid w:val="529D416E"/>
    <w:rsid w:val="54385632"/>
    <w:rsid w:val="54C556B1"/>
    <w:rsid w:val="54F830BB"/>
    <w:rsid w:val="559612BE"/>
    <w:rsid w:val="588B70D4"/>
    <w:rsid w:val="5A3B60D9"/>
    <w:rsid w:val="5BB64468"/>
    <w:rsid w:val="64F23E57"/>
    <w:rsid w:val="6532239F"/>
    <w:rsid w:val="664126D3"/>
    <w:rsid w:val="67642FCA"/>
    <w:rsid w:val="6B8D0D4D"/>
    <w:rsid w:val="6BFC666A"/>
    <w:rsid w:val="6E7774CB"/>
    <w:rsid w:val="722C5939"/>
    <w:rsid w:val="74AE486D"/>
    <w:rsid w:val="76680013"/>
    <w:rsid w:val="77E96F79"/>
    <w:rsid w:val="7CD04806"/>
    <w:rsid w:val="7F571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黑体" w:hAnsi="黑体"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黑体" w:hAnsi="黑体" w:eastAsia="黑体"/>
      <w:sz w:val="28"/>
    </w:rPr>
  </w:style>
  <w:style w:type="paragraph" w:styleId="4">
    <w:name w:val="heading 3"/>
    <w:basedOn w:val="1"/>
    <w:next w:val="1"/>
    <w:unhideWhenUsed/>
    <w:qFormat/>
    <w:uiPriority w:val="0"/>
    <w:pPr>
      <w:keepNext/>
      <w:keepLines/>
      <w:spacing w:beforeLines="0" w:beforeAutospacing="0" w:afterLines="0" w:afterAutospacing="0" w:line="360" w:lineRule="auto"/>
      <w:ind w:left="525" w:leftChars="250"/>
      <w:outlineLvl w:val="2"/>
    </w:pPr>
    <w:rPr>
      <w:rFonts w:ascii="宋体" w:hAnsi="宋体" w:eastAsia="宋体"/>
      <w:sz w:val="24"/>
    </w:rPr>
  </w:style>
  <w:style w:type="paragraph" w:styleId="5">
    <w:name w:val="heading 4"/>
    <w:basedOn w:val="1"/>
    <w:next w:val="1"/>
    <w:unhideWhenUsed/>
    <w:qFormat/>
    <w:uiPriority w:val="0"/>
    <w:pPr>
      <w:keepNext/>
      <w:keepLines/>
      <w:spacing w:beforeLines="0" w:beforeAutospacing="0" w:afterLines="0" w:afterAutospacing="0" w:line="360" w:lineRule="auto"/>
      <w:ind w:left="525" w:leftChars="250"/>
      <w:outlineLvl w:val="3"/>
    </w:pPr>
    <w:rPr>
      <w:rFonts w:ascii="宋体" w:hAnsi="宋体" w:eastAsia="宋体"/>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Indent 2"/>
    <w:basedOn w:val="1"/>
    <w:qFormat/>
    <w:uiPriority w:val="0"/>
    <w:pPr>
      <w:spacing w:before="50" w:beforeLines="50" w:after="120" w:line="480" w:lineRule="auto"/>
      <w:ind w:left="420" w:leftChars="200" w:firstLine="200"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2293</Words>
  <Characters>2558</Characters>
  <Lines>0</Lines>
  <Paragraphs>0</Paragraphs>
  <TotalTime>1</TotalTime>
  <ScaleCrop>false</ScaleCrop>
  <LinksUpToDate>false</LinksUpToDate>
  <CharactersWithSpaces>2576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2023-02-20T06:27:00Z</dcterms:created>
  <dc:creator>DELL</dc:creator>
  <cp:lastModifiedBy>车婷婷</cp:lastModifiedBy>
  <dcterms:modified xsi:type="dcterms:W3CDTF">2023-07-25T01:25:48Z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146D8EFDEC604406BCDD052B6FBF97DE_13</vt:lpwstr>
  </property>
</Properties>
</file>