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spacing w:line="560" w:lineRule="exact"/>
        <w:rPr>
          <w:rFonts w:ascii="仿宋_GB2312" w:hAnsi="华文仿宋"/>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武汉工程大学推荐选拔免试攻读</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硕士学位研究生分值奖励办法</w:t>
      </w:r>
    </w:p>
    <w:p>
      <w:pPr>
        <w:adjustRightInd w:val="0"/>
        <w:snapToGrid w:val="0"/>
        <w:spacing w:line="480" w:lineRule="exact"/>
        <w:ind w:firstLine="560" w:firstLineChars="200"/>
        <w:rPr>
          <w:rFonts w:ascii="仿宋_GB2312" w:hAnsi="宋体" w:cs="宋体"/>
          <w:kern w:val="0"/>
          <w:sz w:val="28"/>
          <w:szCs w:val="28"/>
        </w:rPr>
      </w:pPr>
    </w:p>
    <w:p>
      <w:pPr>
        <w:adjustRightInd w:val="0"/>
        <w:snapToGrid w:val="0"/>
        <w:spacing w:line="4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1.科研竞赛类。国内权威科研竞赛（参见当年全国普通高校大学生竞赛排行榜内竞赛项目名单）奖励标准。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054"/>
        <w:gridCol w:w="1269"/>
        <w:gridCol w:w="132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restart"/>
            <w:noWrap w:val="0"/>
            <w:vAlign w:val="center"/>
          </w:tcPr>
          <w:p>
            <w:pPr>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竞赛项目</w:t>
            </w:r>
          </w:p>
        </w:tc>
        <w:tc>
          <w:tcPr>
            <w:tcW w:w="2054"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获奖等级</w:t>
            </w:r>
          </w:p>
        </w:tc>
        <w:tc>
          <w:tcPr>
            <w:tcW w:w="4156" w:type="dxa"/>
            <w:gridSpan w:val="3"/>
            <w:noWrap w:val="0"/>
            <w:vAlign w:val="center"/>
          </w:tcPr>
          <w:p>
            <w:pPr>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奖励分值（分）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center"/>
          </w:tcPr>
          <w:p>
            <w:pPr>
              <w:adjustRightInd w:val="0"/>
              <w:snapToGrid w:val="0"/>
              <w:ind w:firstLine="480" w:firstLineChars="200"/>
              <w:jc w:val="center"/>
              <w:rPr>
                <w:rFonts w:hint="eastAsia" w:ascii="仿宋" w:hAnsi="仿宋" w:eastAsia="仿宋" w:cs="仿宋"/>
                <w:kern w:val="0"/>
                <w:sz w:val="24"/>
              </w:rPr>
            </w:pPr>
          </w:p>
        </w:tc>
        <w:tc>
          <w:tcPr>
            <w:tcW w:w="2054" w:type="dxa"/>
            <w:vMerge w:val="continue"/>
            <w:noWrap w:val="0"/>
            <w:vAlign w:val="center"/>
          </w:tcPr>
          <w:p>
            <w:pPr>
              <w:adjustRightInd w:val="0"/>
              <w:snapToGrid w:val="0"/>
              <w:jc w:val="center"/>
              <w:rPr>
                <w:rFonts w:hint="eastAsia" w:ascii="仿宋" w:hAnsi="仿宋" w:eastAsia="仿宋" w:cs="仿宋"/>
                <w:sz w:val="24"/>
              </w:rPr>
            </w:pPr>
          </w:p>
        </w:tc>
        <w:tc>
          <w:tcPr>
            <w:tcW w:w="1269" w:type="dxa"/>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姓名顺位第1</w:t>
            </w:r>
          </w:p>
        </w:tc>
        <w:tc>
          <w:tcPr>
            <w:tcW w:w="1327" w:type="dxa"/>
            <w:noWrap w:val="0"/>
            <w:vAlign w:val="center"/>
          </w:tcPr>
          <w:p>
            <w:pPr>
              <w:adjustRightInd w:val="0"/>
              <w:snapToGrid w:val="0"/>
              <w:jc w:val="center"/>
              <w:rPr>
                <w:rFonts w:hint="eastAsia" w:ascii="仿宋" w:hAnsi="仿宋" w:eastAsia="仿宋" w:cs="仿宋"/>
                <w:kern w:val="0"/>
                <w:sz w:val="24"/>
              </w:rPr>
            </w:pPr>
            <w:r>
              <w:rPr>
                <w:rFonts w:hint="eastAsia" w:ascii="仿宋" w:hAnsi="仿宋" w:eastAsia="仿宋" w:cs="仿宋"/>
                <w:sz w:val="24"/>
              </w:rPr>
              <w:t>姓名顺位第2、3</w:t>
            </w:r>
          </w:p>
        </w:tc>
        <w:tc>
          <w:tcPr>
            <w:tcW w:w="1560" w:type="dxa"/>
            <w:noWrap w:val="0"/>
            <w:vAlign w:val="center"/>
          </w:tcPr>
          <w:p>
            <w:pPr>
              <w:adjustRightInd w:val="0"/>
              <w:snapToGrid w:val="0"/>
              <w:jc w:val="center"/>
              <w:rPr>
                <w:rFonts w:hint="eastAsia" w:ascii="仿宋" w:hAnsi="仿宋" w:eastAsia="仿宋" w:cs="仿宋"/>
                <w:kern w:val="0"/>
                <w:sz w:val="24"/>
              </w:rPr>
            </w:pPr>
            <w:r>
              <w:rPr>
                <w:rFonts w:hint="eastAsia" w:ascii="仿宋" w:hAnsi="仿宋" w:eastAsia="仿宋" w:cs="仿宋"/>
                <w:sz w:val="24"/>
              </w:rPr>
              <w:t>姓名顺位第4、5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restart"/>
            <w:noWrap w:val="0"/>
            <w:vAlign w:val="center"/>
          </w:tcPr>
          <w:p>
            <w:pPr>
              <w:adjustRightInd w:val="0"/>
              <w:snapToGrid w:val="0"/>
              <w:spacing w:line="400" w:lineRule="exact"/>
              <w:rPr>
                <w:rFonts w:hint="eastAsia" w:ascii="仿宋" w:hAnsi="仿宋" w:eastAsia="仿宋" w:cs="仿宋"/>
                <w:kern w:val="0"/>
                <w:sz w:val="24"/>
              </w:rPr>
            </w:pPr>
            <w:r>
              <w:rPr>
                <w:rFonts w:hint="eastAsia" w:ascii="仿宋" w:hAnsi="仿宋" w:eastAsia="仿宋" w:cs="仿宋"/>
                <w:sz w:val="24"/>
              </w:rPr>
              <w:t>中国互联网+大学生创新创业大赛、“挑战杯”全国大学生课外学术科技作品竞赛和创业计划大赛（不含附属赛事）</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国家级“二等奖”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rPr>
                <w:rFonts w:hint="eastAsia" w:ascii="仿宋" w:hAnsi="仿宋" w:eastAsia="仿宋" w:cs="仿宋"/>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国家级“三等奖”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16</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rPr>
                <w:rFonts w:hint="eastAsia" w:ascii="仿宋" w:hAnsi="仿宋" w:eastAsia="仿宋" w:cs="仿宋"/>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省级“一等奖”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10</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8</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rPr>
                <w:rFonts w:hint="eastAsia" w:ascii="仿宋" w:hAnsi="仿宋" w:eastAsia="仿宋" w:cs="仿宋"/>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省级“二等奖”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8</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6.4</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rPr>
                <w:rFonts w:hint="eastAsia" w:ascii="仿宋" w:hAnsi="仿宋" w:eastAsia="仿宋" w:cs="仿宋"/>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省级“三等奖”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6</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4.8</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rPr>
                <w:rFonts w:hint="eastAsia" w:ascii="仿宋" w:hAnsi="仿宋" w:eastAsia="仿宋" w:cs="仿宋"/>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省级“四等奖”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4</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3.2</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311" w:type="dxa"/>
            <w:vMerge w:val="restart"/>
            <w:noWrap w:val="0"/>
            <w:vAlign w:val="center"/>
          </w:tcPr>
          <w:p>
            <w:pPr>
              <w:adjustRightInd w:val="0"/>
              <w:snapToGrid w:val="0"/>
              <w:spacing w:line="540" w:lineRule="exact"/>
              <w:jc w:val="center"/>
              <w:rPr>
                <w:rFonts w:hint="eastAsia" w:ascii="仿宋" w:hAnsi="仿宋" w:eastAsia="仿宋" w:cs="仿宋"/>
                <w:kern w:val="0"/>
                <w:sz w:val="24"/>
              </w:rPr>
            </w:pPr>
            <w:r>
              <w:rPr>
                <w:rFonts w:hint="eastAsia" w:ascii="仿宋" w:hAnsi="仿宋" w:eastAsia="仿宋" w:cs="仿宋"/>
                <w:kern w:val="0"/>
                <w:sz w:val="24"/>
              </w:rPr>
              <w:t>其他竞赛项目</w:t>
            </w: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国家级“一等奖”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10</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jc w:val="center"/>
              <w:rPr>
                <w:rFonts w:hint="eastAsia" w:ascii="仿宋" w:hAnsi="仿宋" w:eastAsia="仿宋" w:cs="仿宋"/>
                <w:kern w:val="0"/>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国家级“二等奖”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8</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.4</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jc w:val="center"/>
              <w:rPr>
                <w:rFonts w:hint="eastAsia" w:ascii="仿宋" w:hAnsi="仿宋" w:eastAsia="仿宋" w:cs="仿宋"/>
                <w:kern w:val="0"/>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国家级“三等奖”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6</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.8</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jc w:val="center"/>
              <w:rPr>
                <w:rFonts w:hint="eastAsia" w:ascii="仿宋" w:hAnsi="仿宋" w:eastAsia="仿宋" w:cs="仿宋"/>
                <w:kern w:val="0"/>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国家级“四等奖”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4</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1" w:type="dxa"/>
            <w:vMerge w:val="continue"/>
            <w:noWrap w:val="0"/>
            <w:vAlign w:val="top"/>
          </w:tcPr>
          <w:p>
            <w:pPr>
              <w:adjustRightInd w:val="0"/>
              <w:snapToGrid w:val="0"/>
              <w:spacing w:line="540" w:lineRule="exact"/>
              <w:jc w:val="center"/>
              <w:rPr>
                <w:rFonts w:hint="eastAsia" w:ascii="仿宋" w:hAnsi="仿宋" w:eastAsia="仿宋" w:cs="仿宋"/>
                <w:kern w:val="0"/>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省级“一等奖”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3</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.4</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jc w:val="center"/>
              <w:rPr>
                <w:rFonts w:hint="eastAsia" w:ascii="仿宋" w:hAnsi="仿宋" w:eastAsia="仿宋" w:cs="仿宋"/>
                <w:kern w:val="0"/>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省级“二等奖”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2</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.6</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1" w:type="dxa"/>
            <w:vMerge w:val="continue"/>
            <w:noWrap w:val="0"/>
            <w:vAlign w:val="top"/>
          </w:tcPr>
          <w:p>
            <w:pPr>
              <w:adjustRightInd w:val="0"/>
              <w:snapToGrid w:val="0"/>
              <w:spacing w:line="540" w:lineRule="exact"/>
              <w:jc w:val="center"/>
              <w:rPr>
                <w:rFonts w:hint="eastAsia" w:ascii="仿宋" w:hAnsi="仿宋" w:eastAsia="仿宋" w:cs="仿宋"/>
                <w:kern w:val="0"/>
                <w:sz w:val="24"/>
              </w:rPr>
            </w:pPr>
          </w:p>
        </w:tc>
        <w:tc>
          <w:tcPr>
            <w:tcW w:w="20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省级“三等奖”</w:t>
            </w:r>
          </w:p>
        </w:tc>
        <w:tc>
          <w:tcPr>
            <w:tcW w:w="12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rPr>
            </w:pPr>
            <w:r>
              <w:rPr>
                <w:rFonts w:hint="eastAsia" w:ascii="仿宋" w:hAnsi="仿宋" w:eastAsia="仿宋" w:cs="仿宋"/>
                <w:sz w:val="24"/>
              </w:rPr>
              <w:t>1</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8</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6</w:t>
            </w:r>
          </w:p>
        </w:tc>
      </w:tr>
    </w:tbl>
    <w:p>
      <w:pPr>
        <w:adjustRightInd w:val="0"/>
        <w:snapToGrid w:val="0"/>
        <w:spacing w:line="44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说明：</w:t>
      </w:r>
      <w:r>
        <w:rPr>
          <w:rFonts w:hint="eastAsia" w:ascii="仿宋" w:hAnsi="仿宋" w:eastAsia="仿宋" w:cs="仿宋"/>
          <w:b/>
          <w:bCs/>
          <w:sz w:val="24"/>
        </w:rPr>
        <w:t>“一等奖</w:t>
      </w:r>
      <w:r>
        <w:rPr>
          <w:rFonts w:hint="eastAsia" w:ascii="仿宋" w:hAnsi="仿宋" w:eastAsia="仿宋" w:cs="仿宋"/>
          <w:b/>
          <w:bCs/>
          <w:sz w:val="24"/>
          <w:lang w:eastAsia="zh-CN"/>
        </w:rPr>
        <w:t>”“</w:t>
      </w:r>
      <w:r>
        <w:rPr>
          <w:rFonts w:hint="eastAsia" w:ascii="仿宋" w:hAnsi="仿宋" w:eastAsia="仿宋" w:cs="仿宋"/>
          <w:b/>
          <w:bCs/>
          <w:sz w:val="24"/>
        </w:rPr>
        <w:t>二等奖</w:t>
      </w:r>
      <w:r>
        <w:rPr>
          <w:rFonts w:hint="eastAsia" w:ascii="仿宋" w:hAnsi="仿宋" w:eastAsia="仿宋" w:cs="仿宋"/>
          <w:b/>
          <w:bCs/>
          <w:sz w:val="24"/>
          <w:lang w:eastAsia="zh-CN"/>
        </w:rPr>
        <w:t>”“</w:t>
      </w:r>
      <w:r>
        <w:rPr>
          <w:rFonts w:hint="eastAsia" w:ascii="仿宋" w:hAnsi="仿宋" w:eastAsia="仿宋" w:cs="仿宋"/>
          <w:b/>
          <w:bCs/>
          <w:sz w:val="24"/>
        </w:rPr>
        <w:t>三等奖</w:t>
      </w:r>
      <w:r>
        <w:rPr>
          <w:rFonts w:hint="eastAsia" w:ascii="仿宋" w:hAnsi="仿宋" w:eastAsia="仿宋" w:cs="仿宋"/>
          <w:b/>
          <w:bCs/>
          <w:sz w:val="24"/>
          <w:lang w:eastAsia="zh-CN"/>
        </w:rPr>
        <w:t>”“</w:t>
      </w:r>
      <w:r>
        <w:rPr>
          <w:rFonts w:hint="eastAsia" w:ascii="仿宋" w:hAnsi="仿宋" w:eastAsia="仿宋" w:cs="仿宋"/>
          <w:b/>
          <w:bCs/>
          <w:sz w:val="24"/>
        </w:rPr>
        <w:t>四等奖”指该竞赛项目的最高奖、次高奖、第三高奖、第四</w:t>
      </w:r>
      <w:r>
        <w:rPr>
          <w:rFonts w:hint="eastAsia" w:ascii="仿宋" w:hAnsi="仿宋" w:eastAsia="仿宋" w:cs="仿宋"/>
          <w:b/>
          <w:bCs/>
          <w:sz w:val="24"/>
          <w:lang w:eastAsia="zh-CN"/>
        </w:rPr>
        <w:t>等</w:t>
      </w:r>
      <w:r>
        <w:rPr>
          <w:rFonts w:hint="eastAsia" w:ascii="仿宋" w:hAnsi="仿宋" w:eastAsia="仿宋" w:cs="仿宋"/>
          <w:b/>
          <w:bCs/>
          <w:sz w:val="24"/>
        </w:rPr>
        <w:t>奖。</w:t>
      </w:r>
    </w:p>
    <w:p>
      <w:pPr>
        <w:adjustRightInd w:val="0"/>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获全国计算机专业软件水平考试系统分析师、信息系统项目管理师证书者，奖励2分；获软件设计师、网络工程师、电子商务设计师、信息系统监理师、嵌入式系统设计师、信息系统监理师、软件评测师、多媒体应用设计师、数据库系统工程师、信息系统管理工程师证书者，奖励1分；获程序员、网络管理员、电子商务技术员、信息处理技术员证书者，奖励0.5分（同时获本条款两项以上证书者，按分值最高的一项计算，不累加）。</w:t>
      </w:r>
    </w:p>
    <w:p>
      <w:pPr>
        <w:adjustRightInd w:val="0"/>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3.获全国计算机等级考试四级、三级证书者，分别奖励2分、1分；文科类各专业获四级、三级证书者，分别奖励3分、2分。</w:t>
      </w:r>
    </w:p>
    <w:p>
      <w:pPr>
        <w:adjustRightInd w:val="0"/>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4.获湖北省优秀科研成果特、一、二、三等奖者，分别奖励5分、4分、3分、2分。</w:t>
      </w:r>
    </w:p>
    <w:p>
      <w:pPr>
        <w:adjustRightInd w:val="0"/>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5.获国家五四青年奖章者、全国道德模范等荣誉称号，奖励6分。</w:t>
      </w:r>
    </w:p>
    <w:p>
      <w:pPr>
        <w:adjustRightInd w:val="0"/>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6.获全国大学生自强之星、优秀学生干部、优秀共青团干部、优秀共青团员、社会实践先进个人、优秀青年志愿者等国家级荣誉称号者，奖励3分。</w:t>
      </w:r>
    </w:p>
    <w:p>
      <w:pPr>
        <w:adjustRightInd w:val="0"/>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7.获湖北省五四青年奖章、优秀共产党员、优秀学生干部、优秀共青团员、社会实践先进个人、优秀青年志愿者、全国大学生自强之星提名奖等省级荣誉称号者，奖励2分。</w:t>
      </w:r>
    </w:p>
    <w:p>
      <w:pPr>
        <w:adjustRightInd w:val="0"/>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8.在国家级重大体育类、文艺类竞赛中获一、二、三等奖者，分别奖励5分、4分、3分；在省级重大体育类、文艺类竞赛中获一、二、三等奖者分别奖励3分、2分、1分。纳入奖励的竞赛项目以体育部、校团委认定为准。</w:t>
      </w:r>
    </w:p>
    <w:p>
      <w:pPr>
        <w:adjustRightInd w:val="0"/>
        <w:snapToGrid w:val="0"/>
        <w:spacing w:line="560" w:lineRule="exact"/>
        <w:ind w:firstLine="560" w:firstLineChars="200"/>
        <w:rPr>
          <w:rFonts w:hint="eastAsia" w:ascii="仿宋" w:hAnsi="仿宋" w:eastAsia="仿宋" w:cs="仿宋"/>
          <w:color w:val="auto"/>
          <w:kern w:val="0"/>
          <w:sz w:val="28"/>
          <w:szCs w:val="28"/>
          <w:u w:val="none"/>
          <w:lang w:val="en-US" w:eastAsia="zh-CN"/>
        </w:rPr>
      </w:pPr>
      <w:r>
        <w:rPr>
          <w:rFonts w:hint="eastAsia" w:ascii="仿宋" w:hAnsi="仿宋" w:eastAsia="仿宋" w:cs="仿宋"/>
          <w:kern w:val="0"/>
          <w:sz w:val="28"/>
          <w:szCs w:val="28"/>
        </w:rPr>
        <w:t>9.在学术期刊以武汉工程大学为第一单位、学生为第一作者（下同</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公开发表本学科专业相关学术论文被SCI、CSSCI、SSCI、 EI、中文核心收录，其中SCI一区奖励5分，二区奖励4分，三区奖励3分，四区奖励1分，CSSCI奖励3分，SSCI、EI和中文核心奖励1分；主编并公开出版与所学专业相关的学术专著者，奖励3分。</w:t>
      </w:r>
      <w:r>
        <w:rPr>
          <w:rFonts w:hint="eastAsia" w:ascii="仿宋" w:hAnsi="仿宋" w:eastAsia="仿宋" w:cs="仿宋"/>
          <w:kern w:val="0"/>
          <w:sz w:val="28"/>
          <w:szCs w:val="28"/>
          <w:lang w:val="en-US" w:eastAsia="zh-CN"/>
        </w:rPr>
        <w:t>另外，</w:t>
      </w:r>
      <w:r>
        <w:rPr>
          <w:rFonts w:hint="eastAsia" w:ascii="仿宋" w:hAnsi="仿宋" w:eastAsia="仿宋" w:cs="仿宋"/>
          <w:color w:val="auto"/>
          <w:kern w:val="0"/>
          <w:sz w:val="28"/>
          <w:szCs w:val="28"/>
          <w:u w:val="none"/>
          <w:lang w:val="en-US" w:eastAsia="zh-CN"/>
        </w:rPr>
        <w:t>以武汉工程大学为第一单位、学生为第一作者公开发表本学科专业相关学术论文被武汉工程大学学术期刊分级名录（2017年版）中除SCI、CSSCI、SSCI、 EI、中文核心外期刊收录，A类奖励0.2分，B类奖励0.1分，封顶两分。</w:t>
      </w:r>
    </w:p>
    <w:p>
      <w:pPr>
        <w:adjustRightInd w:val="0"/>
        <w:snapToGrid w:val="0"/>
        <w:spacing w:line="560" w:lineRule="exact"/>
        <w:ind w:firstLine="560" w:firstLineChars="200"/>
        <w:rPr>
          <w:rFonts w:hint="eastAsia" w:ascii="仿宋" w:hAnsi="仿宋" w:eastAsia="仿宋" w:cs="仿宋"/>
          <w:kern w:val="0"/>
          <w:sz w:val="28"/>
          <w:szCs w:val="28"/>
          <w:u w:val="none"/>
          <w:lang w:val="en-US" w:eastAsia="zh-CN"/>
        </w:rPr>
      </w:pPr>
      <w:r>
        <w:rPr>
          <w:rFonts w:hint="eastAsia" w:ascii="仿宋" w:hAnsi="仿宋" w:eastAsia="仿宋" w:cs="仿宋"/>
          <w:kern w:val="0"/>
          <w:sz w:val="28"/>
          <w:szCs w:val="28"/>
          <w:u w:val="none"/>
        </w:rPr>
        <w:t>10.获授权发明专利者奖励6分</w:t>
      </w:r>
      <w:r>
        <w:rPr>
          <w:rFonts w:hint="eastAsia" w:ascii="仿宋" w:hAnsi="仿宋" w:eastAsia="仿宋" w:cs="仿宋"/>
          <w:kern w:val="0"/>
          <w:sz w:val="28"/>
          <w:szCs w:val="28"/>
          <w:u w:val="none"/>
          <w:lang w:eastAsia="zh-CN"/>
        </w:rPr>
        <w:t>。</w:t>
      </w:r>
    </w:p>
    <w:p>
      <w:pPr>
        <w:adjustRightInd w:val="0"/>
        <w:snapToGrid w:val="0"/>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11.以小组或集体名义参加的竞赛，只对排序前五位的获奖者给予奖励加分，其中：姓名顺位排在第一的按以上标准执行，排在二、三位的按照</w:t>
      </w:r>
      <w:r>
        <w:rPr>
          <w:rFonts w:hint="eastAsia" w:ascii="仿宋" w:hAnsi="仿宋" w:eastAsia="仿宋" w:cs="仿宋"/>
          <w:spacing w:val="-6"/>
          <w:kern w:val="0"/>
          <w:sz w:val="28"/>
          <w:szCs w:val="28"/>
        </w:rPr>
        <w:t>以上标准的五分之四执行，排在第四、五位的按照以上标准的五分之三执</w:t>
      </w:r>
      <w:r>
        <w:rPr>
          <w:rFonts w:hint="eastAsia" w:ascii="仿宋" w:hAnsi="仿宋" w:eastAsia="仿宋" w:cs="仿宋"/>
          <w:kern w:val="0"/>
          <w:sz w:val="28"/>
          <w:szCs w:val="28"/>
        </w:rPr>
        <w:t>行。</w:t>
      </w:r>
    </w:p>
    <w:p>
      <w:pPr>
        <w:adjustRightInd w:val="0"/>
        <w:snapToGrid w:val="0"/>
        <w:spacing w:line="5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kern w:val="0"/>
          <w:sz w:val="28"/>
          <w:szCs w:val="28"/>
        </w:rPr>
        <w:t>12.以上奖励分合计最多不能超过20分。若同一作品（项目）同时在全国及省级竞赛中获奖的，只计最高分，不重复计算；参加不同竞赛项目获奖的，分值可以累加</w:t>
      </w:r>
      <w:r>
        <w:rPr>
          <w:rFonts w:hint="eastAsia" w:ascii="仿宋" w:hAnsi="仿宋" w:eastAsia="仿宋" w:cs="仿宋"/>
          <w:color w:val="auto"/>
          <w:kern w:val="0"/>
          <w:sz w:val="28"/>
          <w:szCs w:val="28"/>
        </w:rPr>
        <w:t>。若一个人同时获有多项荣誉，只计算单项荣誉的最高分，分值不累加。</w:t>
      </w:r>
    </w:p>
    <w:p>
      <w:pPr>
        <w:adjustRightInd w:val="0"/>
        <w:snapToGrid w:val="0"/>
        <w:spacing w:line="56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13.以上所有奖项均以教育主管部门发文或证书为准。对于以上条款未提及的奖项由学院报学校推免生遴选工作领导小组，经研究后确定。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70A9184-46DA-4CF3-8FC9-ABF826808215}"/>
  </w:font>
  <w:font w:name="仿宋">
    <w:panose1 w:val="02010609060101010101"/>
    <w:charset w:val="7A"/>
    <w:family w:val="modern"/>
    <w:pitch w:val="default"/>
    <w:sig w:usb0="800002BF" w:usb1="38CF7CFA" w:usb2="00000016" w:usb3="00000000" w:csb0="00040001" w:csb1="00000000"/>
    <w:embedRegular r:id="rId2" w:fontKey="{89F84BF1-A0BB-4D46-BBA7-55F966C5528E}"/>
  </w:font>
  <w:font w:name="仿宋_GB2312">
    <w:panose1 w:val="02010609030101010101"/>
    <w:charset w:val="86"/>
    <w:family w:val="modern"/>
    <w:pitch w:val="default"/>
    <w:sig w:usb0="00000001" w:usb1="080E0000" w:usb2="00000000" w:usb3="00000000" w:csb0="00040000" w:csb1="00000000"/>
    <w:embedRegular r:id="rId3" w:fontKey="{12F30AE1-7356-42A9-8A5D-F6ACE2E0351E}"/>
  </w:font>
  <w:font w:name="华文仿宋">
    <w:panose1 w:val="02010600040101010101"/>
    <w:charset w:val="7A"/>
    <w:family w:val="auto"/>
    <w:pitch w:val="default"/>
    <w:sig w:usb0="00000287" w:usb1="080F0000" w:usb2="00000000" w:usb3="00000000" w:csb0="0004009F" w:csb1="DFD70000"/>
    <w:embedRegular r:id="rId4" w:fontKey="{0CF2447A-3A7F-4EE2-BE97-D952B541AE4A}"/>
  </w:font>
  <w:font w:name="方正小标宋_GBK">
    <w:panose1 w:val="02000000000000000000"/>
    <w:charset w:val="86"/>
    <w:family w:val="auto"/>
    <w:pitch w:val="default"/>
    <w:sig w:usb0="A00002BF" w:usb1="38CF7CFA" w:usb2="00082016" w:usb3="00000000" w:csb0="00040001" w:csb1="00000000"/>
    <w:embedRegular r:id="rId5" w:fontKey="{B0D71C42-F141-4820-9E7D-5F94227B53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WZmZTFkM2EzMzQwOWM4MjA1MDFlYTdmOWRiODIifQ=="/>
  </w:docVars>
  <w:rsids>
    <w:rsidRoot w:val="6EBE4E70"/>
    <w:rsid w:val="02C50CF8"/>
    <w:rsid w:val="0F3A448D"/>
    <w:rsid w:val="12760603"/>
    <w:rsid w:val="1D497F91"/>
    <w:rsid w:val="260744C5"/>
    <w:rsid w:val="44041125"/>
    <w:rsid w:val="484B65B7"/>
    <w:rsid w:val="4E870795"/>
    <w:rsid w:val="53FA7313"/>
    <w:rsid w:val="6AEB57B0"/>
    <w:rsid w:val="6EBE4E70"/>
    <w:rsid w:val="6F635E50"/>
    <w:rsid w:val="720A29C0"/>
    <w:rsid w:val="748D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1417</Words>
  <Characters>1515</Characters>
  <Lines>0</Lines>
  <Paragraphs>0</Paragraphs>
  <TotalTime>26</TotalTime>
  <ScaleCrop>false</ScaleCrop>
  <LinksUpToDate>false</LinksUpToDate>
  <CharactersWithSpaces>1517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2023-09-18T10:48:00Z</dcterms:created>
  <dc:creator>朱华杰</dc:creator>
  <cp:lastModifiedBy>WPS_1641875309</cp:lastModifiedBy>
  <dcterms:modified xsi:type="dcterms:W3CDTF">2025-01-03T08:09:29Z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C1676D7670B34B429A88DCB434D31ACC_13</vt:lpwstr>
  </property>
</Properties>
</file>