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FA" w:rsidRPr="008F5058" w:rsidRDefault="00FB63FA">
      <w:pPr>
        <w:pStyle w:val="1"/>
        <w:snapToGrid w:val="0"/>
        <w:spacing w:before="0" w:beforeAutospacing="0" w:after="0" w:afterAutospacing="0" w:line="300" w:lineRule="auto"/>
        <w:rPr>
          <w:rFonts w:ascii="仿宋" w:eastAsia="仿宋" w:hAnsi="仿宋"/>
          <w:color w:val="000000"/>
        </w:rPr>
      </w:pPr>
      <w:r w:rsidRPr="008F5058">
        <w:rPr>
          <w:rFonts w:ascii="仿宋" w:eastAsia="仿宋" w:hAnsi="仿宋" w:hint="eastAsia"/>
          <w:color w:val="000000"/>
        </w:rPr>
        <w:t>附件</w:t>
      </w:r>
      <w:r w:rsidRPr="008F5058">
        <w:rPr>
          <w:rFonts w:ascii="仿宋" w:eastAsia="仿宋" w:hAnsi="仿宋"/>
          <w:color w:val="000000"/>
        </w:rPr>
        <w:t>1:</w:t>
      </w:r>
    </w:p>
    <w:p w:rsidR="00FB63FA" w:rsidRPr="008F5058" w:rsidRDefault="00FB63FA">
      <w:pPr>
        <w:pStyle w:val="1"/>
        <w:snapToGrid w:val="0"/>
        <w:spacing w:before="0" w:beforeAutospacing="0" w:after="0" w:afterAutospacing="0" w:line="300" w:lineRule="auto"/>
        <w:ind w:firstLine="480"/>
        <w:jc w:val="center"/>
        <w:rPr>
          <w:rStyle w:val="10"/>
          <w:rFonts w:ascii="Times New Roman" w:eastAsia="仿宋" w:hAnsi="仿宋"/>
          <w:b/>
          <w:color w:val="000000"/>
        </w:rPr>
      </w:pPr>
      <w:r w:rsidRPr="008F5058">
        <w:rPr>
          <w:rStyle w:val="10"/>
          <w:rFonts w:ascii="仿宋" w:eastAsia="仿宋" w:hAnsi="仿宋" w:hint="eastAsia"/>
          <w:b/>
          <w:color w:val="000000"/>
        </w:rPr>
        <w:t>城</w:t>
      </w:r>
      <w:r w:rsidRPr="008F5058">
        <w:rPr>
          <w:rStyle w:val="10"/>
          <w:rFonts w:ascii="Times New Roman" w:eastAsia="仿宋" w:hAnsi="仿宋" w:hint="eastAsia"/>
          <w:b/>
          <w:color w:val="000000"/>
        </w:rPr>
        <w:t>乡建设学院</w:t>
      </w:r>
      <w:r w:rsidRPr="008F5058">
        <w:rPr>
          <w:rStyle w:val="10"/>
          <w:rFonts w:ascii="Times New Roman" w:eastAsia="仿宋" w:hAnsi="Times New Roman"/>
          <w:b/>
          <w:color w:val="000000"/>
        </w:rPr>
        <w:t>2025</w:t>
      </w:r>
      <w:r w:rsidRPr="008F5058">
        <w:rPr>
          <w:rStyle w:val="10"/>
          <w:rFonts w:ascii="Times New Roman" w:eastAsia="仿宋" w:hAnsi="仿宋" w:hint="eastAsia"/>
          <w:b/>
          <w:color w:val="000000"/>
        </w:rPr>
        <w:t>年接收推免生复试评分标准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000000"/>
          <w:insideV w:val="none" w:sz="0" w:space="0" w:color="000000"/>
        </w:tblBorders>
        <w:tblCellMar>
          <w:top w:w="30" w:type="dxa"/>
          <w:left w:w="45" w:type="dxa"/>
          <w:bottom w:w="30" w:type="dxa"/>
          <w:right w:w="45" w:type="dxa"/>
        </w:tblCellMar>
        <w:tblLook w:val="00A0"/>
      </w:tblPr>
      <w:tblGrid>
        <w:gridCol w:w="837"/>
        <w:gridCol w:w="753"/>
        <w:gridCol w:w="3319"/>
        <w:gridCol w:w="3319"/>
        <w:gridCol w:w="2701"/>
        <w:gridCol w:w="2566"/>
        <w:gridCol w:w="825"/>
      </w:tblGrid>
      <w:tr w:rsidR="00FB63FA" w:rsidTr="008F5058">
        <w:trPr>
          <w:trHeight w:val="538"/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3FA" w:rsidRDefault="00FB63FA" w:rsidP="00084D8F">
            <w:pPr>
              <w:pStyle w:val="1"/>
              <w:snapToGrid w:val="0"/>
              <w:jc w:val="center"/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eastAsia="仿宋" w:hAnsi="仿宋" w:hint="eastAsia"/>
                <w:color w:val="000000"/>
                <w:sz w:val="21"/>
                <w:szCs w:val="21"/>
              </w:rPr>
              <w:t>一、思想品德（</w:t>
            </w:r>
            <w:r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  <w:t>20</w:t>
            </w:r>
            <w:r>
              <w:rPr>
                <w:rStyle w:val="10"/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2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不合格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FB63FA" w:rsidTr="008F5058">
        <w:trPr>
          <w:trHeight w:val="340"/>
          <w:jc w:val="center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  <w:t>20</w:t>
            </w:r>
            <w:r>
              <w:rPr>
                <w:rStyle w:val="10"/>
                <w:rFonts w:ascii="Times New Roman" w:eastAsia="仿宋" w:hAnsi="仿宋" w:hint="eastAsia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2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  <w:t>0</w:t>
            </w:r>
            <w:r>
              <w:rPr>
                <w:rStyle w:val="10"/>
                <w:rFonts w:ascii="Times New Roman" w:eastAsia="仿宋" w:hAnsi="仿宋" w:hint="eastAsia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eastAsia="仿宋" w:hAnsi="仿宋" w:hint="eastAsia"/>
                <w:color w:val="000000"/>
                <w:sz w:val="21"/>
                <w:szCs w:val="21"/>
              </w:rPr>
              <w:t>该项不合格不予录取</w:t>
            </w:r>
          </w:p>
        </w:tc>
      </w:tr>
      <w:tr w:rsidR="00FB63FA" w:rsidTr="008F5058">
        <w:trPr>
          <w:trHeight w:val="498"/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eastAsia="仿宋" w:hAnsi="仿宋" w:hint="eastAsia"/>
                <w:color w:val="000000"/>
                <w:sz w:val="21"/>
                <w:szCs w:val="21"/>
              </w:rPr>
              <w:t>二、专业素质</w:t>
            </w:r>
          </w:p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eastAsia="仿宋" w:hAnsi="仿宋" w:hint="eastAsia"/>
                <w:color w:val="000000"/>
                <w:sz w:val="21"/>
                <w:szCs w:val="21"/>
              </w:rPr>
              <w:t>（分值</w:t>
            </w:r>
            <w:r>
              <w:rPr>
                <w:rStyle w:val="10"/>
                <w:rFonts w:ascii="Times New Roman" w:eastAsia="仿宋" w:hAnsi="Times New Roman"/>
                <w:color w:val="000000"/>
                <w:sz w:val="21"/>
                <w:szCs w:val="21"/>
              </w:rPr>
              <w:t>50</w:t>
            </w:r>
            <w:r>
              <w:rPr>
                <w:rStyle w:val="10"/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eastAsia="仿宋" w:hAnsi="仿宋" w:hint="eastAsia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eastAsia="仿宋" w:hAnsi="仿宋" w:hint="eastAsia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eastAsia="仿宋" w:hAnsi="仿宋" w:hint="eastAsia"/>
                <w:color w:val="000000"/>
                <w:sz w:val="21"/>
                <w:szCs w:val="21"/>
              </w:rPr>
              <w:t>良好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eastAsia="仿宋" w:hAnsi="仿宋" w:hint="eastAsia"/>
                <w:color w:val="000000"/>
                <w:sz w:val="21"/>
                <w:szCs w:val="21"/>
              </w:rPr>
              <w:t>一般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eastAsia="仿宋" w:hAnsi="仿宋" w:hint="eastAsia"/>
                <w:color w:val="000000"/>
                <w:sz w:val="21"/>
                <w:szCs w:val="21"/>
              </w:rPr>
              <w:t>较差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</w:pPr>
          </w:p>
        </w:tc>
      </w:tr>
      <w:tr w:rsidR="00FB63FA" w:rsidTr="008F5058">
        <w:trPr>
          <w:trHeight w:val="340"/>
          <w:jc w:val="center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既往学习表现</w:t>
            </w:r>
          </w:p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（分值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15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both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通过英语六级考试，参加过科研项目并有论文、专利等成果，获得过国家级奖项。（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13-15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通过英语四级考试，参加过科研项目，或有论文、专利等成果，获得过省级奖项。（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10-12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参加过科研项目，或有论文、专利等成果，获得过校级以上奖项。（</w:t>
            </w:r>
            <w:r>
              <w:rPr>
                <w:rFonts w:ascii="Times New Roman" w:eastAsia="仿宋" w:hAnsi="仿宋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-9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参加过科研项目，或有论文、专利等成果，未获得过任何专业奖项。（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≤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</w:p>
        </w:tc>
      </w:tr>
      <w:tr w:rsidR="00FB63FA" w:rsidTr="008F5058">
        <w:trPr>
          <w:trHeight w:val="340"/>
          <w:jc w:val="center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专业知识试题</w:t>
            </w:r>
          </w:p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（分值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15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回答问题准确合理、逻辑性强、语言组织完整，表达流畅。（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13-15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回答问题较为准确，逻辑性较强，语言组织与表达较好。（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10-12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回答问题准确度差，逻辑性一般，能够进行基本的语言组织及表达。（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7-9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回答问题不准确，逻辑性一般，语言组织及表达不完整。（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≤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</w:p>
        </w:tc>
      </w:tr>
      <w:tr w:rsidR="00FB63FA" w:rsidTr="008F5058">
        <w:trPr>
          <w:trHeight w:val="340"/>
          <w:jc w:val="center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专业综合能力试题</w:t>
            </w:r>
          </w:p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（分值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本学科（专业）基础理论知识和应用技能掌握很好，具有很强的分析问题和解决问题的能力。（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9-10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本学科（专业）基础理论知识和应用技能掌握较好，具有一定的分析问题和解决问题的能力。（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7-8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本学科（专业）基础理论知识和应用技能掌握较差，分析问题和解决问题的能力一般。（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5-6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基本未掌握本学科（专业）基础理论知识和应用技能，分析问题和解决问题的能力较差。（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≤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</w:p>
        </w:tc>
      </w:tr>
      <w:tr w:rsidR="00FB63FA" w:rsidTr="008F5058">
        <w:trPr>
          <w:trHeight w:val="340"/>
          <w:jc w:val="center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英语能力</w:t>
            </w:r>
          </w:p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（分值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专业词汇丰富，语法准确，用词得当，语言组织较长且很连贯。（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9-10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专业词汇量掌握较好，语法与用词较为准确，语言组织及连贯性较好。（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7-8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专业词汇掌握一般，语法与用词使用一般，存在一定的使用错误，语言组织及连贯性一般。（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5-6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专业词汇掌握较差，语法与用词使用不当，错误点较多，语言组织及连贯性较差。（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≤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</w:p>
        </w:tc>
      </w:tr>
      <w:tr w:rsidR="00FB63FA" w:rsidTr="008F5058">
        <w:trPr>
          <w:trHeight w:val="340"/>
          <w:jc w:val="center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eastAsia="仿宋" w:hAnsi="仿宋" w:hint="eastAsia"/>
                <w:color w:val="000000"/>
                <w:sz w:val="21"/>
                <w:szCs w:val="21"/>
              </w:rPr>
              <w:t>三、综合素质</w:t>
            </w:r>
          </w:p>
          <w:p w:rsidR="00FB63FA" w:rsidRDefault="00FB63FA" w:rsidP="008F5058">
            <w:pPr>
              <w:pStyle w:val="1"/>
              <w:snapToGrid w:val="0"/>
              <w:spacing w:before="0" w:beforeAutospacing="0" w:after="0" w:afterAutospacing="0"/>
              <w:ind w:firstLineChars="200" w:firstLine="420"/>
              <w:rPr>
                <w:rStyle w:val="10"/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Style w:val="10"/>
                <w:rFonts w:ascii="Times New Roman" w:eastAsia="仿宋" w:hAnsi="仿宋" w:hint="eastAsia"/>
                <w:color w:val="000000"/>
                <w:sz w:val="21"/>
                <w:szCs w:val="21"/>
              </w:rPr>
              <w:t>（分值</w:t>
            </w:r>
            <w:r>
              <w:rPr>
                <w:rStyle w:val="10"/>
                <w:rFonts w:ascii="Times New Roman" w:eastAsia="仿宋" w:hAnsi="Times New Roman"/>
                <w:color w:val="000000"/>
                <w:sz w:val="21"/>
                <w:szCs w:val="21"/>
              </w:rPr>
              <w:t>30</w:t>
            </w:r>
            <w:r>
              <w:rPr>
                <w:rStyle w:val="10"/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考生参与过很多专业以外的学习、科研、社会实践活动，具有很强的协作精神与很好的人文素养，个人仪表得体，回答问题自信、流畅、态度谦虚。（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25-30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考生参与过较多专业以外的学习、科研、社会实践活动，具有良好的协作精神与较好的人文素养，个人仪表得体，回答问题自信、流畅、态度谦虚。（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15-24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考生参与过部分专业以外的学习、科研、社会实践活动，学生的协作精神与人文素养一般，回答问题逻辑尚可。（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10-14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考生参与专业以外的学习、科研、社会实践活动较少，学生的协作精神不足，人文素养欠佳，回答问题模糊不清。（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≤</w:t>
            </w: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eastAsia="仿宋" w:hAnsi="Times New Roman" w:hint="eastAsia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B63FA" w:rsidRDefault="00FB63FA">
            <w:pPr>
              <w:pStyle w:val="1"/>
              <w:snapToGrid w:val="0"/>
              <w:spacing w:before="0" w:beforeAutospacing="0" w:after="0" w:afterAutospacing="0"/>
              <w:rPr>
                <w:rFonts w:ascii="Times New Roman" w:eastAsia="仿宋" w:hAnsi="仿宋"/>
                <w:color w:val="000000"/>
                <w:sz w:val="21"/>
                <w:szCs w:val="21"/>
              </w:rPr>
            </w:pPr>
          </w:p>
        </w:tc>
      </w:tr>
    </w:tbl>
    <w:p w:rsidR="00FB63FA" w:rsidRDefault="00FB63FA">
      <w:bookmarkStart w:id="0" w:name="_GoBack"/>
      <w:bookmarkEnd w:id="0"/>
    </w:p>
    <w:sectPr w:rsidR="00FB63FA" w:rsidSect="008F50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91" w:right="1304" w:bottom="119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3FA" w:rsidRDefault="00FB63FA">
      <w:r>
        <w:separator/>
      </w:r>
    </w:p>
  </w:endnote>
  <w:endnote w:type="continuationSeparator" w:id="0">
    <w:p w:rsidR="00FB63FA" w:rsidRDefault="00FB6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FA" w:rsidRDefault="00FB63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FA" w:rsidRDefault="00FB63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FA" w:rsidRDefault="00FB63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3FA" w:rsidRDefault="00FB63FA">
      <w:r>
        <w:separator/>
      </w:r>
    </w:p>
  </w:footnote>
  <w:footnote w:type="continuationSeparator" w:id="0">
    <w:p w:rsidR="00FB63FA" w:rsidRDefault="00FB6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FA" w:rsidRDefault="00FB63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FA" w:rsidRDefault="00FB63FA" w:rsidP="008F505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FA" w:rsidRDefault="00FB63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NmN2RiNDhkNDc2YmVjNTFjOWRhYjNmYzIyMzVmMGEifQ=="/>
  </w:docVars>
  <w:rsids>
    <w:rsidRoot w:val="78603531"/>
    <w:rsid w:val="00084D8F"/>
    <w:rsid w:val="001A4F8A"/>
    <w:rsid w:val="003874A3"/>
    <w:rsid w:val="00681A70"/>
    <w:rsid w:val="0079007E"/>
    <w:rsid w:val="008F5058"/>
    <w:rsid w:val="00A502E6"/>
    <w:rsid w:val="00C01F1A"/>
    <w:rsid w:val="00CB2488"/>
    <w:rsid w:val="00CF448D"/>
    <w:rsid w:val="00FB63FA"/>
    <w:rsid w:val="7860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E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普通(网站)1"/>
    <w:basedOn w:val="Normal"/>
    <w:autoRedefine/>
    <w:uiPriority w:val="99"/>
    <w:rsid w:val="00A502E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要点1"/>
    <w:basedOn w:val="11"/>
    <w:uiPriority w:val="99"/>
    <w:rsid w:val="00A502E6"/>
    <w:rPr>
      <w:rFonts w:ascii="Calibri" w:eastAsia="宋体" w:hAnsi="Calibri" w:cs="Times New Roman"/>
      <w:kern w:val="2"/>
      <w:sz w:val="24"/>
      <w:szCs w:val="24"/>
      <w:lang w:val="en-US" w:eastAsia="zh-CN" w:bidi="ar-SA"/>
    </w:rPr>
  </w:style>
  <w:style w:type="character" w:customStyle="1" w:styleId="11">
    <w:name w:val="默认段落字体1"/>
    <w:uiPriority w:val="99"/>
    <w:semiHidden/>
    <w:rsid w:val="00A502E6"/>
  </w:style>
  <w:style w:type="paragraph" w:styleId="Header">
    <w:name w:val="header"/>
    <w:basedOn w:val="Normal"/>
    <w:link w:val="HeaderChar"/>
    <w:uiPriority w:val="99"/>
    <w:rsid w:val="00CB2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B2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164</Words>
  <Characters>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pc</cp:lastModifiedBy>
  <cp:revision>4</cp:revision>
  <dcterms:created xsi:type="dcterms:W3CDTF">2024-04-07T01:44:00Z</dcterms:created>
  <dcterms:modified xsi:type="dcterms:W3CDTF">2024-09-07T03:20:00Z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8ABC278310BD4494AA2357FAA5BD14F5_11</vt:lpwstr>
  </property>
</Properties>
</file>