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0D5E2">
      <w:pPr>
        <w:spacing w:before="156" w:beforeLines="50"/>
        <w:jc w:val="left"/>
        <w:rPr>
          <w:rFonts w:hint="eastAsia" w:ascii="黑体" w:hAnsi="黑体" w:eastAsia="黑体" w:cs="Times New Roman"/>
          <w:bCs/>
          <w:sz w:val="32"/>
          <w:szCs w:val="32"/>
          <w:shd w:val="clear" w:color="auto" w:fill="FFFFFF"/>
        </w:rPr>
      </w:pPr>
      <w:bookmarkStart w:id="0" w:name="_GoBack"/>
      <w:bookmarkEnd w:id="0"/>
      <w:r>
        <w:rPr>
          <w:rFonts w:hint="eastAsia" w:ascii="黑体" w:hAnsi="黑体" w:eastAsia="黑体" w:cs="Times New Roman"/>
          <w:bCs/>
          <w:sz w:val="32"/>
          <w:szCs w:val="32"/>
          <w:shd w:val="clear" w:color="auto" w:fill="FFFFFF"/>
        </w:rPr>
        <w:t>附件1：</w:t>
      </w:r>
    </w:p>
    <w:p w14:paraId="62679D0D">
      <w:pPr>
        <w:spacing w:before="156" w:beforeLines="50"/>
        <w:jc w:val="center"/>
        <w:rPr>
          <w:rFonts w:ascii="方正小标宋简体" w:hAnsi="黑体" w:eastAsia="方正小标宋简体" w:cs="Times New Roman"/>
          <w:bCs/>
          <w:sz w:val="36"/>
          <w:szCs w:val="32"/>
          <w:shd w:val="clear" w:color="auto" w:fill="FFFFFF"/>
        </w:rPr>
      </w:pPr>
      <w:r>
        <w:rPr>
          <w:rFonts w:hint="eastAsia" w:ascii="方正小标宋简体" w:hAnsi="黑体" w:eastAsia="方正小标宋简体" w:cs="Times New Roman"/>
          <w:bCs/>
          <w:sz w:val="36"/>
          <w:szCs w:val="32"/>
          <w:shd w:val="clear" w:color="auto" w:fill="FFFFFF"/>
        </w:rPr>
        <w:t>合肥工业大学推荐优秀应届本科毕业生免试攻读硕士学位研究生工作暂行办法</w:t>
      </w:r>
    </w:p>
    <w:p w14:paraId="466B3B79">
      <w:pPr>
        <w:spacing w:before="156" w:beforeLines="50"/>
        <w:jc w:val="center"/>
        <w:rPr>
          <w:rFonts w:ascii="楷体" w:hAnsi="楷体" w:eastAsia="楷体" w:cs="Times New Roman"/>
          <w:bCs/>
          <w:color w:val="000000" w:themeColor="text1"/>
          <w:sz w:val="32"/>
          <w:szCs w:val="32"/>
          <w:shd w:val="clear" w:color="auto" w:fill="FFFFFF"/>
        </w:rPr>
      </w:pPr>
      <w:r>
        <w:rPr>
          <w:rFonts w:hint="eastAsia" w:ascii="楷体" w:hAnsi="楷体" w:eastAsia="楷体" w:cs="Times New Roman"/>
          <w:bCs/>
          <w:color w:val="000000" w:themeColor="text1"/>
          <w:sz w:val="32"/>
          <w:szCs w:val="32"/>
          <w:shd w:val="clear" w:color="auto" w:fill="FFFFFF"/>
        </w:rPr>
        <w:t>（2021年</w:t>
      </w:r>
      <w:r>
        <w:rPr>
          <w:rFonts w:ascii="楷体" w:hAnsi="楷体" w:eastAsia="楷体" w:cs="Times New Roman"/>
          <w:bCs/>
          <w:color w:val="000000" w:themeColor="text1"/>
          <w:sz w:val="32"/>
          <w:szCs w:val="32"/>
          <w:shd w:val="clear" w:color="auto" w:fill="FFFFFF"/>
        </w:rPr>
        <w:t>3</w:t>
      </w:r>
      <w:r>
        <w:rPr>
          <w:rFonts w:hint="eastAsia" w:ascii="楷体" w:hAnsi="楷体" w:eastAsia="楷体" w:cs="Times New Roman"/>
          <w:bCs/>
          <w:color w:val="000000" w:themeColor="text1"/>
          <w:sz w:val="32"/>
          <w:szCs w:val="32"/>
          <w:shd w:val="clear" w:color="auto" w:fill="FFFFFF"/>
        </w:rPr>
        <w:t>月</w:t>
      </w:r>
      <w:r>
        <w:rPr>
          <w:rFonts w:ascii="楷体" w:hAnsi="楷体" w:eastAsia="楷体" w:cs="Times New Roman"/>
          <w:bCs/>
          <w:color w:val="000000" w:themeColor="text1"/>
          <w:sz w:val="32"/>
          <w:szCs w:val="32"/>
          <w:shd w:val="clear" w:color="auto" w:fill="FFFFFF"/>
        </w:rPr>
        <w:t>4</w:t>
      </w:r>
      <w:r>
        <w:rPr>
          <w:rFonts w:hint="eastAsia" w:ascii="楷体" w:hAnsi="楷体" w:eastAsia="楷体" w:cs="Times New Roman"/>
          <w:bCs/>
          <w:color w:val="000000" w:themeColor="text1"/>
          <w:sz w:val="32"/>
          <w:szCs w:val="32"/>
          <w:shd w:val="clear" w:color="auto" w:fill="FFFFFF"/>
        </w:rPr>
        <w:t>日修订）</w:t>
      </w:r>
    </w:p>
    <w:p w14:paraId="3CB9F93D">
      <w:pPr>
        <w:jc w:val="center"/>
        <w:rPr>
          <w:rFonts w:ascii="仿宋" w:hAnsi="仿宋" w:eastAsia="仿宋"/>
          <w:b/>
          <w:sz w:val="32"/>
          <w:szCs w:val="32"/>
        </w:rPr>
      </w:pPr>
    </w:p>
    <w:p w14:paraId="10340F0D">
      <w:pPr>
        <w:spacing w:line="560" w:lineRule="exact"/>
        <w:jc w:val="center"/>
        <w:rPr>
          <w:rFonts w:ascii="仿宋" w:hAnsi="仿宋" w:eastAsia="仿宋"/>
          <w:b/>
          <w:sz w:val="32"/>
          <w:szCs w:val="32"/>
        </w:rPr>
      </w:pPr>
      <w:r>
        <w:rPr>
          <w:rFonts w:ascii="仿宋" w:hAnsi="仿宋" w:eastAsia="仿宋"/>
          <w:b/>
          <w:sz w:val="32"/>
          <w:szCs w:val="32"/>
        </w:rPr>
        <w:t>第一章</w:t>
      </w:r>
      <w:r>
        <w:rPr>
          <w:rFonts w:hint="eastAsia" w:ascii="仿宋" w:hAnsi="仿宋" w:eastAsia="仿宋"/>
          <w:b/>
          <w:sz w:val="32"/>
          <w:szCs w:val="32"/>
        </w:rPr>
        <w:t xml:space="preserve">  总则</w:t>
      </w:r>
    </w:p>
    <w:p w14:paraId="77D85A43">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为切实做好推荐优秀应届本科毕业生免试攻读硕士学位研究生(以下简称推免生)工作，根据《全国普通高等学校推荐优秀应届本科毕业生免试攻读硕士学位研究生工作管理办法（试行）》（教学〔</w:t>
      </w:r>
      <w:r>
        <w:rPr>
          <w:rFonts w:ascii="仿宋" w:hAnsi="仿宋" w:eastAsia="仿宋"/>
          <w:sz w:val="32"/>
          <w:szCs w:val="32"/>
        </w:rPr>
        <w:t>2006</w:t>
      </w:r>
      <w:r>
        <w:rPr>
          <w:rFonts w:hint="eastAsia" w:ascii="仿宋" w:hAnsi="仿宋" w:eastAsia="仿宋"/>
          <w:sz w:val="32"/>
          <w:szCs w:val="32"/>
        </w:rPr>
        <w:t>〕</w:t>
      </w:r>
      <w:r>
        <w:rPr>
          <w:rFonts w:ascii="仿宋" w:hAnsi="仿宋" w:eastAsia="仿宋"/>
          <w:sz w:val="32"/>
          <w:szCs w:val="32"/>
        </w:rPr>
        <w:t>14号</w:t>
      </w:r>
      <w:r>
        <w:rPr>
          <w:rFonts w:hint="eastAsia" w:ascii="仿宋" w:hAnsi="仿宋" w:eastAsia="仿宋"/>
          <w:sz w:val="32"/>
          <w:szCs w:val="32"/>
        </w:rPr>
        <w:t>）、《教育部办公厅关于进一步完善推荐优秀应届本科毕业生免试攻读研究生工作办法的通知》（教学厅[</w:t>
      </w:r>
      <w:r>
        <w:rPr>
          <w:rFonts w:ascii="仿宋" w:hAnsi="仿宋" w:eastAsia="仿宋"/>
          <w:sz w:val="32"/>
          <w:szCs w:val="32"/>
        </w:rPr>
        <w:t>2014]5</w:t>
      </w:r>
      <w:r>
        <w:rPr>
          <w:rFonts w:hint="eastAsia" w:ascii="仿宋" w:hAnsi="仿宋" w:eastAsia="仿宋"/>
          <w:sz w:val="32"/>
          <w:szCs w:val="32"/>
        </w:rPr>
        <w:t>号）等相关规定，结合我校实际，特制定本暂行办法。</w:t>
      </w:r>
    </w:p>
    <w:p w14:paraId="0185F838">
      <w:pPr>
        <w:spacing w:line="560" w:lineRule="exact"/>
        <w:ind w:firstLine="643" w:firstLineChars="200"/>
        <w:jc w:val="left"/>
        <w:rPr>
          <w:rFonts w:ascii="仿宋" w:hAnsi="仿宋" w:eastAsia="仿宋"/>
          <w:sz w:val="32"/>
          <w:szCs w:val="32"/>
        </w:rPr>
      </w:pPr>
      <w:r>
        <w:rPr>
          <w:rFonts w:ascii="仿宋" w:hAnsi="仿宋" w:eastAsia="仿宋"/>
          <w:b/>
          <w:sz w:val="32"/>
          <w:szCs w:val="32"/>
        </w:rPr>
        <w:t>第二条</w:t>
      </w:r>
      <w:r>
        <w:rPr>
          <w:rFonts w:hint="eastAsia" w:ascii="仿宋" w:hAnsi="仿宋" w:eastAsia="仿宋"/>
          <w:sz w:val="32"/>
          <w:szCs w:val="32"/>
        </w:rPr>
        <w:t xml:space="preserve">  推免生工作是激励在校学生勤奋学习、积极创新、全面发展的有效措施。要坚持以德为先，德、智、体、美、劳全面衡量、择优选拔。要在学习和科研能力综合测评基础上，突出对学生科研创新潜质和专业能力倾向等的考查。</w:t>
      </w:r>
    </w:p>
    <w:p w14:paraId="1A4F9EE0">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推免生工作应做到公开、公正、公平。</w:t>
      </w:r>
    </w:p>
    <w:p w14:paraId="34C74647">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推免生对象为我校在国家普通本科招生计划内录取的应届在校本科毕业生（不含专升本、第二学士学位、继续教育学院学生）。</w:t>
      </w:r>
    </w:p>
    <w:p w14:paraId="5265129C">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第二章</w:t>
      </w:r>
      <w:r>
        <w:rPr>
          <w:rFonts w:hint="eastAsia" w:ascii="仿宋" w:hAnsi="仿宋" w:eastAsia="仿宋"/>
          <w:b/>
          <w:sz w:val="32"/>
          <w:szCs w:val="32"/>
        </w:rPr>
        <w:t xml:space="preserve">  组织与领导</w:t>
      </w:r>
    </w:p>
    <w:p w14:paraId="039A6AA3">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学校成立由分管校领导担任组长的推免生遴选工作领导小组，成员由本科生院、研究生院、纪委办（监察处）、学生工作部、团委负责人及专家教授代表组成，负责学校推免生工作的组织、协调和监督，审定学校推免生名额分配方案和拟推免生名单，受理关于免试研究生推荐工作的申诉，加强对全校推免生工作的指导。本科生院教务处负责推免生的相关具体工作。</w:t>
      </w:r>
    </w:p>
    <w:p w14:paraId="732F3144">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各学院成立学院推免生遴选工作小组。负责具体实施本院的推荐工作。工作小组成员应由各学院院长、党委书记、分管本科教学的副院长、分管学生工作的党委副书记、其他相关负责人及教师代表组成，人数不少于</w:t>
      </w:r>
      <w:r>
        <w:rPr>
          <w:rFonts w:ascii="仿宋" w:hAnsi="仿宋" w:eastAsia="仿宋"/>
          <w:sz w:val="32"/>
          <w:szCs w:val="32"/>
        </w:rPr>
        <w:t>7</w:t>
      </w:r>
      <w:r>
        <w:rPr>
          <w:rFonts w:hint="eastAsia" w:ascii="仿宋" w:hAnsi="仿宋" w:eastAsia="仿宋"/>
          <w:sz w:val="32"/>
          <w:szCs w:val="32"/>
        </w:rPr>
        <w:t>人。</w:t>
      </w:r>
    </w:p>
    <w:p w14:paraId="0EE1C9CE">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第三章</w:t>
      </w:r>
      <w:r>
        <w:rPr>
          <w:rFonts w:hint="eastAsia" w:ascii="仿宋" w:hAnsi="仿宋" w:eastAsia="仿宋"/>
          <w:b/>
          <w:sz w:val="32"/>
          <w:szCs w:val="32"/>
        </w:rPr>
        <w:t xml:space="preserve">  推免生选拔条件</w:t>
      </w:r>
    </w:p>
    <w:p w14:paraId="0CF792B3">
      <w:pPr>
        <w:spacing w:line="560" w:lineRule="exact"/>
        <w:ind w:firstLine="643" w:firstLineChars="200"/>
        <w:jc w:val="left"/>
        <w:rPr>
          <w:rFonts w:ascii="仿宋" w:hAnsi="仿宋" w:eastAsia="仿宋"/>
          <w:sz w:val="32"/>
          <w:szCs w:val="32"/>
        </w:rPr>
      </w:pPr>
      <w:r>
        <w:rPr>
          <w:rFonts w:ascii="仿宋" w:hAnsi="仿宋" w:eastAsia="仿宋"/>
          <w:b/>
          <w:sz w:val="32"/>
          <w:szCs w:val="32"/>
        </w:rPr>
        <w:t>第七条</w:t>
      </w:r>
      <w:r>
        <w:rPr>
          <w:rFonts w:hint="eastAsia" w:ascii="仿宋" w:hAnsi="仿宋" w:eastAsia="仿宋"/>
          <w:sz w:val="32"/>
          <w:szCs w:val="32"/>
        </w:rPr>
        <w:t xml:space="preserve">  推免生选拔基本条件：</w:t>
      </w:r>
    </w:p>
    <w:p w14:paraId="71460804">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（一）具有坚定的理想信念，高尚的爱国主义情操和集体主义精神；具有历史使命感和社会责任心，遵纪守法，积极向上，身心健康。</w:t>
      </w:r>
    </w:p>
    <w:p w14:paraId="41F73E98">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勤奋学习，刻苦钻研，成绩优良；学术研究兴趣浓厚，有较强的科研创新潜质和专业能力倾向，修读并通过专业教学计划要求的前三学年（五年制专业为前四学年）开设的全部必修课程及专业选修课程，且平均学业成绩（见本暂行办法第五章）不低于75分（成绩以首次记载的原始成绩为准）；全国大学外语四级考试成绩不低于425分，英语专业学生全国专业英语四级(TEM4)考试成绩不低于70分或全国大学英语六级考试成绩不低于500分。</w:t>
      </w:r>
    </w:p>
    <w:p w14:paraId="1D7BD360">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（三）诚实守信，学风端正，无任何考试作弊、违反考场纪律和剽窃他人学术成果记录。</w:t>
      </w:r>
    </w:p>
    <w:p w14:paraId="5F529572">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（四）品行表现优良，无任何违法犯罪记录，截止当年9月1日，没有尚未解除的警告及以上违纪处分，未有尚在处理的应给与警告及以上处分的行为情况。</w:t>
      </w:r>
    </w:p>
    <w:p w14:paraId="73846BAE">
      <w:pPr>
        <w:spacing w:line="560" w:lineRule="exact"/>
        <w:ind w:firstLine="643" w:firstLineChars="200"/>
        <w:jc w:val="left"/>
        <w:rPr>
          <w:rFonts w:ascii="仿宋" w:hAnsi="仿宋" w:eastAsia="仿宋"/>
          <w:sz w:val="32"/>
          <w:szCs w:val="32"/>
        </w:rPr>
      </w:pPr>
      <w:r>
        <w:rPr>
          <w:rFonts w:ascii="仿宋" w:hAnsi="仿宋" w:eastAsia="仿宋"/>
          <w:b/>
          <w:sz w:val="32"/>
          <w:szCs w:val="32"/>
        </w:rPr>
        <w:t>第八条</w:t>
      </w: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sz w:val="32"/>
          <w:szCs w:val="32"/>
        </w:rPr>
        <w:t>符合第七条者，依据学业成绩、创新创业及学术能力、文艺及体育素质、社会工作及社会实践能力等进行综合评价，按照综合评价分数高低择优推荐。</w:t>
      </w:r>
    </w:p>
    <w:p w14:paraId="069F57DA">
      <w:pPr>
        <w:spacing w:line="560" w:lineRule="exact"/>
        <w:ind w:firstLine="643" w:firstLineChars="200"/>
        <w:jc w:val="left"/>
        <w:rPr>
          <w:rFonts w:ascii="仿宋" w:hAnsi="仿宋" w:eastAsia="仿宋"/>
          <w:sz w:val="32"/>
          <w:szCs w:val="32"/>
        </w:rPr>
      </w:pPr>
      <w:r>
        <w:rPr>
          <w:rFonts w:ascii="仿宋" w:hAnsi="仿宋" w:eastAsia="仿宋"/>
          <w:b/>
          <w:sz w:val="32"/>
          <w:szCs w:val="32"/>
        </w:rPr>
        <w:t>第九条</w:t>
      </w:r>
      <w:r>
        <w:rPr>
          <w:rFonts w:hint="eastAsia" w:ascii="仿宋" w:hAnsi="仿宋" w:eastAsia="仿宋"/>
          <w:b/>
          <w:sz w:val="32"/>
          <w:szCs w:val="32"/>
        </w:rPr>
        <w:t xml:space="preserve">  </w:t>
      </w:r>
      <w:r>
        <w:rPr>
          <w:rFonts w:hint="eastAsia" w:ascii="仿宋" w:hAnsi="仿宋" w:eastAsia="仿宋"/>
          <w:sz w:val="32"/>
          <w:szCs w:val="32"/>
        </w:rPr>
        <w:t>符合第七条，且符合下列条件之一者，经推免生遴选工作领导小组审议通过后，可直接获得推免生资格，无需依据第八条参加综合评价：</w:t>
      </w:r>
    </w:p>
    <w:p w14:paraId="08EC3F87">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（一）获得“挑战杯”全国大学生课外学术科技作品竞赛国赛特等奖（排名前三）、或一等奖（排名前二）、或二等奖（排名第一）；</w:t>
      </w:r>
    </w:p>
    <w:p w14:paraId="406946D3">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（二）获得“挑战杯”中国大学生创业计划竞赛国赛金奖（排名前三）、或银奖（排名前二）、或铜奖（排名第一）；</w:t>
      </w:r>
    </w:p>
    <w:p w14:paraId="2CEE3377">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（三）获得中国“互联网+”大学生创新创业大赛国赛金奖（排名前三）、或银奖（排名前二）、或铜奖（排名第一）；</w:t>
      </w:r>
    </w:p>
    <w:p w14:paraId="2FE499D8">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（四）在部队荣立二等功及以上的退役人员；</w:t>
      </w:r>
    </w:p>
    <w:p w14:paraId="7FF2D54F">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（五）作出突出贡献者。</w:t>
      </w:r>
    </w:p>
    <w:p w14:paraId="130ABF04">
      <w:pPr>
        <w:spacing w:line="560" w:lineRule="exact"/>
        <w:ind w:firstLine="640" w:firstLineChars="200"/>
        <w:jc w:val="left"/>
        <w:rPr>
          <w:rFonts w:ascii="仿宋" w:hAnsi="仿宋" w:eastAsia="仿宋"/>
          <w:sz w:val="32"/>
          <w:szCs w:val="32"/>
        </w:rPr>
      </w:pPr>
      <w:r>
        <w:rPr>
          <w:rFonts w:ascii="仿宋" w:hAnsi="仿宋" w:eastAsia="仿宋"/>
          <w:sz w:val="32"/>
          <w:szCs w:val="32"/>
        </w:rPr>
        <w:t>注</w:t>
      </w:r>
      <w:r>
        <w:rPr>
          <w:rFonts w:hint="eastAsia" w:ascii="仿宋" w:hAnsi="仿宋" w:eastAsia="仿宋"/>
          <w:sz w:val="32"/>
          <w:szCs w:val="32"/>
        </w:rPr>
        <w:t>：</w:t>
      </w:r>
      <w:r>
        <w:rPr>
          <w:rFonts w:ascii="仿宋" w:hAnsi="仿宋" w:eastAsia="仿宋"/>
          <w:sz w:val="32"/>
          <w:szCs w:val="32"/>
        </w:rPr>
        <w:t>如同专业符合以上</w:t>
      </w:r>
      <w:r>
        <w:rPr>
          <w:rFonts w:hint="eastAsia" w:ascii="仿宋" w:hAnsi="仿宋" w:eastAsia="仿宋"/>
          <w:sz w:val="32"/>
          <w:szCs w:val="32"/>
        </w:rPr>
        <w:t>五</w:t>
      </w:r>
      <w:r>
        <w:rPr>
          <w:rFonts w:ascii="仿宋" w:hAnsi="仿宋" w:eastAsia="仿宋"/>
          <w:sz w:val="32"/>
          <w:szCs w:val="32"/>
        </w:rPr>
        <w:t>条之一者人数超过了专业推免生名额</w:t>
      </w:r>
      <w:r>
        <w:rPr>
          <w:rFonts w:hint="eastAsia" w:ascii="仿宋" w:hAnsi="仿宋" w:eastAsia="仿宋"/>
          <w:sz w:val="32"/>
          <w:szCs w:val="32"/>
        </w:rPr>
        <w:t>，符合条件（四）者优先，其余按平均学业成绩由高到低进行排序。</w:t>
      </w:r>
    </w:p>
    <w:p w14:paraId="774643A2">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符合第七条，且有特殊学术专长或具有突出培养潜质者，经三名以上本校本专业教授联名推荐，有关说明材料和教授推荐信经过学院严格审核并公示，经学校推免生遴选工作领导小组严格审查，可不受综合评价排名限制。</w:t>
      </w:r>
    </w:p>
    <w:p w14:paraId="66156FB6">
      <w:pPr>
        <w:spacing w:line="560" w:lineRule="exact"/>
        <w:ind w:firstLine="643" w:firstLineChars="200"/>
        <w:jc w:val="left"/>
        <w:rPr>
          <w:rFonts w:ascii="仿宋" w:hAnsi="仿宋" w:eastAsia="仿宋"/>
          <w:sz w:val="32"/>
          <w:szCs w:val="32"/>
        </w:rPr>
      </w:pPr>
      <w:r>
        <w:rPr>
          <w:rFonts w:ascii="仿宋" w:hAnsi="仿宋" w:eastAsia="仿宋"/>
          <w:b/>
          <w:sz w:val="32"/>
          <w:szCs w:val="32"/>
        </w:rPr>
        <w:t>第十一条</w:t>
      </w:r>
      <w:r>
        <w:rPr>
          <w:rFonts w:hint="eastAsia" w:ascii="仿宋" w:hAnsi="仿宋" w:eastAsia="仿宋"/>
          <w:sz w:val="32"/>
          <w:szCs w:val="32"/>
        </w:rPr>
        <w:t xml:space="preserve">  申请“研究生支教团”专项推免生的，不参加综合评价，按照笔试加面试的方式进行排序推荐。</w:t>
      </w:r>
    </w:p>
    <w:p w14:paraId="272B8728">
      <w:pPr>
        <w:spacing w:line="560" w:lineRule="exact"/>
        <w:ind w:firstLine="643" w:firstLineChars="200"/>
        <w:jc w:val="center"/>
        <w:rPr>
          <w:rFonts w:ascii="仿宋" w:hAnsi="仿宋" w:eastAsia="仿宋"/>
          <w:b/>
          <w:sz w:val="32"/>
          <w:szCs w:val="32"/>
        </w:rPr>
      </w:pPr>
      <w:r>
        <w:rPr>
          <w:rFonts w:hint="eastAsia" w:ascii="仿宋" w:hAnsi="仿宋" w:eastAsia="仿宋"/>
          <w:b/>
          <w:sz w:val="32"/>
          <w:szCs w:val="32"/>
        </w:rPr>
        <w:t>第四章  综合评价</w:t>
      </w:r>
    </w:p>
    <w:p w14:paraId="5D66345E">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综合评价成绩由平均学业成绩、创新创业及学术能力加分、文艺及体育素质加分、社会工作及社会实践能力加分四部分组成。其计算公式如下：</w:t>
      </w:r>
    </w:p>
    <w:p w14:paraId="1EFDC31C">
      <w:pPr>
        <w:spacing w:line="560" w:lineRule="exact"/>
        <w:ind w:firstLine="640" w:firstLineChars="200"/>
        <w:jc w:val="left"/>
        <w:rPr>
          <w:rFonts w:ascii="仿宋" w:hAnsi="仿宋" w:eastAsia="仿宋"/>
          <w:sz w:val="32"/>
          <w:szCs w:val="32"/>
        </w:rPr>
      </w:pPr>
      <w:r>
        <w:rPr>
          <w:rFonts w:ascii="仿宋" w:hAnsi="仿宋" w:eastAsia="仿宋"/>
          <w:sz w:val="32"/>
          <w:szCs w:val="32"/>
        </w:rPr>
        <w:t>综合评价成绩</w:t>
      </w:r>
      <w:r>
        <w:rPr>
          <w:rFonts w:hint="eastAsia" w:ascii="仿宋" w:hAnsi="仿宋" w:eastAsia="仿宋"/>
          <w:sz w:val="32"/>
          <w:szCs w:val="32"/>
        </w:rPr>
        <w:t>=平均学业成绩</w:t>
      </w:r>
      <w:r>
        <w:rPr>
          <w:rFonts w:hint="eastAsia" w:ascii="仿宋" w:hAnsi="仿宋" w:eastAsia="仿宋"/>
          <w:sz w:val="32"/>
          <w:szCs w:val="32"/>
        </w:rPr>
        <w:sym w:font="Wingdings 2" w:char="F0CD"/>
      </w:r>
      <w:r>
        <w:rPr>
          <w:rFonts w:ascii="仿宋" w:hAnsi="仿宋" w:eastAsia="仿宋"/>
          <w:sz w:val="32"/>
          <w:szCs w:val="32"/>
        </w:rPr>
        <w:t>50</w:t>
      </w:r>
      <w:r>
        <w:rPr>
          <w:rFonts w:hint="eastAsia" w:ascii="仿宋" w:hAnsi="仿宋" w:eastAsia="仿宋"/>
          <w:sz w:val="32"/>
          <w:szCs w:val="32"/>
        </w:rPr>
        <w:t>%＋创新创业及学术能力加分</w:t>
      </w:r>
      <w:r>
        <w:rPr>
          <w:rFonts w:hint="eastAsia" w:ascii="仿宋" w:hAnsi="仿宋" w:eastAsia="仿宋"/>
          <w:sz w:val="32"/>
          <w:szCs w:val="32"/>
        </w:rPr>
        <w:sym w:font="Wingdings 2" w:char="F0CD"/>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%＋文艺及体育素质加分</w:t>
      </w:r>
      <w:r>
        <w:rPr>
          <w:rFonts w:hint="eastAsia" w:ascii="仿宋" w:hAnsi="仿宋" w:eastAsia="仿宋"/>
          <w:sz w:val="32"/>
          <w:szCs w:val="32"/>
        </w:rPr>
        <w:sym w:font="Wingdings 2" w:char="F0CD"/>
      </w:r>
      <w:r>
        <w:rPr>
          <w:rFonts w:ascii="仿宋" w:hAnsi="仿宋" w:eastAsia="仿宋"/>
          <w:sz w:val="32"/>
          <w:szCs w:val="32"/>
        </w:rPr>
        <w:t>15</w:t>
      </w:r>
      <w:r>
        <w:rPr>
          <w:rFonts w:hint="eastAsia" w:ascii="仿宋" w:hAnsi="仿宋" w:eastAsia="仿宋"/>
          <w:sz w:val="32"/>
          <w:szCs w:val="32"/>
        </w:rPr>
        <w:t>%＋社会工作及社会实践能力加分</w:t>
      </w:r>
      <w:r>
        <w:rPr>
          <w:rFonts w:hint="eastAsia" w:ascii="仿宋" w:hAnsi="仿宋" w:eastAsia="仿宋"/>
          <w:sz w:val="32"/>
          <w:szCs w:val="32"/>
        </w:rPr>
        <w:sym w:font="Wingdings 2" w:char="F0CD"/>
      </w:r>
      <w:r>
        <w:rPr>
          <w:rFonts w:ascii="仿宋" w:hAnsi="仿宋" w:eastAsia="仿宋"/>
          <w:sz w:val="32"/>
          <w:szCs w:val="32"/>
        </w:rPr>
        <w:t>15</w:t>
      </w:r>
      <w:r>
        <w:rPr>
          <w:rFonts w:hint="eastAsia" w:ascii="仿宋" w:hAnsi="仿宋" w:eastAsia="仿宋"/>
          <w:sz w:val="32"/>
          <w:szCs w:val="32"/>
        </w:rPr>
        <w:t>%</w:t>
      </w:r>
    </w:p>
    <w:p w14:paraId="3C6AD415">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平均学业成绩是指专业教学计划要求的前三学年（五年制专业为前四学年）开设的全部必修课程及专业选修课程的加权平均成绩（成绩以首次记载的原始成绩为准）。</w:t>
      </w:r>
    </w:p>
    <w:p w14:paraId="61C7BA0E">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创新创业及学术能力加分是指学生参加学校认可的各级各类创新创业竞赛、与所学专业相关的学术竞赛、创新创业实践活动等提升创新创业及学术能力的活动，发表与所学专业相关的学术论文，获得与所学专业相关的授权国家（国际）发明专利而获得的加分。其最高值为10，加分细则见附件。</w:t>
      </w:r>
    </w:p>
    <w:p w14:paraId="127C54FD">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文艺及体育素质加分指学生参加学校认可的各级各类文化艺术竞赛或活动、体育竞赛等提升文艺及体育素质的活动而获得的加分。其最高值为</w:t>
      </w:r>
      <w:r>
        <w:rPr>
          <w:rFonts w:ascii="仿宋" w:hAnsi="仿宋" w:eastAsia="仿宋"/>
          <w:sz w:val="32"/>
          <w:szCs w:val="32"/>
        </w:rPr>
        <w:t>5</w:t>
      </w:r>
      <w:r>
        <w:rPr>
          <w:rFonts w:hint="eastAsia" w:ascii="仿宋" w:hAnsi="仿宋" w:eastAsia="仿宋"/>
          <w:sz w:val="32"/>
          <w:szCs w:val="32"/>
        </w:rPr>
        <w:t>，加分细则见附件。</w:t>
      </w:r>
    </w:p>
    <w:p w14:paraId="50BF0863">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社会工作及社会实践能力加分是指学生参军入伍服兵役、积极参加学校认可的各项社会实践活动等而获得的加分。其最高值为</w:t>
      </w:r>
      <w:r>
        <w:rPr>
          <w:rFonts w:ascii="仿宋" w:hAnsi="仿宋" w:eastAsia="仿宋"/>
          <w:sz w:val="32"/>
          <w:szCs w:val="32"/>
        </w:rPr>
        <w:t>5</w:t>
      </w:r>
      <w:r>
        <w:rPr>
          <w:rFonts w:hint="eastAsia" w:ascii="仿宋" w:hAnsi="仿宋" w:eastAsia="仿宋"/>
          <w:sz w:val="32"/>
          <w:szCs w:val="32"/>
        </w:rPr>
        <w:t>，加分细则见附件。</w:t>
      </w:r>
    </w:p>
    <w:p w14:paraId="60404AFF">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第五章</w:t>
      </w:r>
      <w:r>
        <w:rPr>
          <w:rFonts w:hint="eastAsia" w:ascii="仿宋" w:hAnsi="仿宋" w:eastAsia="仿宋"/>
          <w:b/>
          <w:sz w:val="32"/>
          <w:szCs w:val="32"/>
        </w:rPr>
        <w:t xml:space="preserve">  平均学业成绩</w:t>
      </w:r>
    </w:p>
    <w:p w14:paraId="1C2BA240">
      <w:pPr>
        <w:spacing w:line="560" w:lineRule="exact"/>
        <w:ind w:firstLine="643" w:firstLineChars="200"/>
        <w:jc w:val="left"/>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七</w:t>
      </w:r>
      <w:r>
        <w:rPr>
          <w:rFonts w:ascii="仿宋" w:hAnsi="仿宋" w:eastAsia="仿宋"/>
          <w:b/>
          <w:sz w:val="32"/>
          <w:szCs w:val="32"/>
        </w:rPr>
        <w:t>条</w:t>
      </w:r>
      <w:r>
        <w:rPr>
          <w:rFonts w:hint="eastAsia" w:ascii="仿宋" w:hAnsi="仿宋" w:eastAsia="仿宋"/>
          <w:sz w:val="32"/>
          <w:szCs w:val="32"/>
        </w:rPr>
        <w:t xml:space="preserve">  平均学业成绩（专业教学计划要求的）计算</w:t>
      </w:r>
    </w:p>
    <w:p w14:paraId="3D016D72">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平均学业成绩=（∑课程成绩×课程学分）/∑课程学分；</w:t>
      </w:r>
    </w:p>
    <w:p w14:paraId="38884006">
      <w:pPr>
        <w:spacing w:line="560" w:lineRule="exact"/>
        <w:ind w:firstLine="643" w:firstLineChars="200"/>
        <w:jc w:val="left"/>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八</w:t>
      </w:r>
      <w:r>
        <w:rPr>
          <w:rFonts w:ascii="仿宋" w:hAnsi="仿宋" w:eastAsia="仿宋"/>
          <w:b/>
          <w:sz w:val="32"/>
          <w:szCs w:val="32"/>
        </w:rPr>
        <w:t>条</w:t>
      </w:r>
      <w:r>
        <w:rPr>
          <w:rFonts w:hint="eastAsia" w:ascii="仿宋" w:hAnsi="仿宋" w:eastAsia="仿宋"/>
          <w:sz w:val="32"/>
          <w:szCs w:val="32"/>
        </w:rPr>
        <w:t xml:space="preserve">  所有课程成绩均以修读该课程的首次记载的原始成绩为准，如首次记载成绩为采用两级制的补考成绩，参照五级制成绩换算后纳入计算。</w:t>
      </w:r>
    </w:p>
    <w:p w14:paraId="3700C291">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采用五级制记载成绩的课程，换算成百分制成绩后纳入计算，其换算关系如下：</w:t>
      </w:r>
    </w:p>
    <w:tbl>
      <w:tblPr>
        <w:tblStyle w:val="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35"/>
      </w:tblGrid>
      <w:tr w14:paraId="5598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351EE6C6">
            <w:pPr>
              <w:spacing w:line="560" w:lineRule="exact"/>
              <w:jc w:val="center"/>
              <w:rPr>
                <w:rFonts w:ascii="仿宋" w:hAnsi="仿宋" w:eastAsia="仿宋"/>
                <w:sz w:val="32"/>
                <w:szCs w:val="32"/>
              </w:rPr>
            </w:pPr>
            <w:r>
              <w:rPr>
                <w:rFonts w:ascii="仿宋" w:hAnsi="仿宋" w:eastAsia="仿宋"/>
                <w:sz w:val="32"/>
                <w:szCs w:val="32"/>
              </w:rPr>
              <w:t>成绩（五级制）</w:t>
            </w:r>
          </w:p>
        </w:tc>
        <w:tc>
          <w:tcPr>
            <w:tcW w:w="2935" w:type="dxa"/>
          </w:tcPr>
          <w:p w14:paraId="54C9FBA7">
            <w:pPr>
              <w:spacing w:line="560" w:lineRule="exact"/>
              <w:jc w:val="center"/>
              <w:rPr>
                <w:rFonts w:ascii="仿宋" w:hAnsi="仿宋" w:eastAsia="仿宋"/>
                <w:sz w:val="32"/>
                <w:szCs w:val="32"/>
              </w:rPr>
            </w:pPr>
            <w:r>
              <w:rPr>
                <w:rFonts w:ascii="仿宋" w:hAnsi="仿宋" w:eastAsia="仿宋"/>
                <w:sz w:val="32"/>
                <w:szCs w:val="32"/>
              </w:rPr>
              <w:t>成绩（百分制）</w:t>
            </w:r>
          </w:p>
        </w:tc>
      </w:tr>
      <w:tr w14:paraId="08BC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01D85D25">
            <w:pPr>
              <w:spacing w:line="560" w:lineRule="exact"/>
              <w:jc w:val="center"/>
              <w:rPr>
                <w:rFonts w:ascii="仿宋" w:hAnsi="仿宋" w:eastAsia="仿宋"/>
                <w:sz w:val="32"/>
                <w:szCs w:val="32"/>
              </w:rPr>
            </w:pPr>
            <w:r>
              <w:rPr>
                <w:rFonts w:hint="eastAsia" w:ascii="仿宋" w:hAnsi="仿宋" w:eastAsia="仿宋"/>
                <w:sz w:val="32"/>
                <w:szCs w:val="32"/>
              </w:rPr>
              <w:t>优</w:t>
            </w:r>
          </w:p>
        </w:tc>
        <w:tc>
          <w:tcPr>
            <w:tcW w:w="2935" w:type="dxa"/>
          </w:tcPr>
          <w:p w14:paraId="4B0F4A59">
            <w:pPr>
              <w:spacing w:line="560" w:lineRule="exact"/>
              <w:jc w:val="center"/>
              <w:rPr>
                <w:rFonts w:ascii="仿宋" w:hAnsi="仿宋" w:eastAsia="仿宋"/>
                <w:sz w:val="32"/>
                <w:szCs w:val="32"/>
              </w:rPr>
            </w:pPr>
            <w:r>
              <w:rPr>
                <w:rFonts w:hint="eastAsia" w:ascii="仿宋" w:hAnsi="仿宋" w:eastAsia="仿宋"/>
                <w:sz w:val="32"/>
                <w:szCs w:val="32"/>
              </w:rPr>
              <w:t>90</w:t>
            </w:r>
          </w:p>
        </w:tc>
      </w:tr>
      <w:tr w14:paraId="1522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75777851">
            <w:pPr>
              <w:spacing w:line="560" w:lineRule="exact"/>
              <w:jc w:val="center"/>
              <w:rPr>
                <w:rFonts w:ascii="仿宋" w:hAnsi="仿宋" w:eastAsia="仿宋"/>
                <w:sz w:val="32"/>
                <w:szCs w:val="32"/>
              </w:rPr>
            </w:pPr>
            <w:r>
              <w:rPr>
                <w:rFonts w:hint="eastAsia" w:ascii="仿宋" w:hAnsi="仿宋" w:eastAsia="仿宋"/>
                <w:sz w:val="32"/>
                <w:szCs w:val="32"/>
              </w:rPr>
              <w:t>良</w:t>
            </w:r>
          </w:p>
        </w:tc>
        <w:tc>
          <w:tcPr>
            <w:tcW w:w="2935" w:type="dxa"/>
          </w:tcPr>
          <w:p w14:paraId="029E92E2">
            <w:pPr>
              <w:spacing w:line="560" w:lineRule="exact"/>
              <w:jc w:val="center"/>
              <w:rPr>
                <w:rFonts w:ascii="仿宋" w:hAnsi="仿宋" w:eastAsia="仿宋"/>
                <w:sz w:val="32"/>
                <w:szCs w:val="32"/>
              </w:rPr>
            </w:pPr>
            <w:r>
              <w:rPr>
                <w:rFonts w:hint="eastAsia" w:ascii="仿宋" w:hAnsi="仿宋" w:eastAsia="仿宋"/>
                <w:sz w:val="32"/>
                <w:szCs w:val="32"/>
              </w:rPr>
              <w:t>80</w:t>
            </w:r>
          </w:p>
        </w:tc>
      </w:tr>
      <w:tr w14:paraId="02C7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665CF4C0">
            <w:pPr>
              <w:spacing w:line="560" w:lineRule="exact"/>
              <w:jc w:val="center"/>
              <w:rPr>
                <w:rFonts w:ascii="仿宋" w:hAnsi="仿宋" w:eastAsia="仿宋"/>
                <w:sz w:val="32"/>
                <w:szCs w:val="32"/>
              </w:rPr>
            </w:pPr>
            <w:r>
              <w:rPr>
                <w:rFonts w:hint="eastAsia" w:ascii="仿宋" w:hAnsi="仿宋" w:eastAsia="仿宋"/>
                <w:sz w:val="32"/>
                <w:szCs w:val="32"/>
              </w:rPr>
              <w:t>中</w:t>
            </w:r>
          </w:p>
        </w:tc>
        <w:tc>
          <w:tcPr>
            <w:tcW w:w="2935" w:type="dxa"/>
          </w:tcPr>
          <w:p w14:paraId="23796473">
            <w:pPr>
              <w:spacing w:line="560" w:lineRule="exact"/>
              <w:jc w:val="center"/>
              <w:rPr>
                <w:rFonts w:ascii="仿宋" w:hAnsi="仿宋" w:eastAsia="仿宋"/>
                <w:sz w:val="32"/>
                <w:szCs w:val="32"/>
              </w:rPr>
            </w:pPr>
            <w:r>
              <w:rPr>
                <w:rFonts w:hint="eastAsia" w:ascii="仿宋" w:hAnsi="仿宋" w:eastAsia="仿宋"/>
                <w:sz w:val="32"/>
                <w:szCs w:val="32"/>
              </w:rPr>
              <w:t>70</w:t>
            </w:r>
          </w:p>
        </w:tc>
      </w:tr>
      <w:tr w14:paraId="09EF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5DFE8AA4">
            <w:pPr>
              <w:spacing w:line="560" w:lineRule="exact"/>
              <w:jc w:val="center"/>
              <w:rPr>
                <w:rFonts w:ascii="仿宋" w:hAnsi="仿宋" w:eastAsia="仿宋"/>
                <w:sz w:val="32"/>
                <w:szCs w:val="32"/>
              </w:rPr>
            </w:pPr>
            <w:r>
              <w:rPr>
                <w:rFonts w:hint="eastAsia" w:ascii="仿宋" w:hAnsi="仿宋" w:eastAsia="仿宋"/>
                <w:sz w:val="32"/>
                <w:szCs w:val="32"/>
              </w:rPr>
              <w:t>及格</w:t>
            </w:r>
          </w:p>
        </w:tc>
        <w:tc>
          <w:tcPr>
            <w:tcW w:w="2935" w:type="dxa"/>
          </w:tcPr>
          <w:p w14:paraId="27CC12BF">
            <w:pPr>
              <w:spacing w:line="560" w:lineRule="exact"/>
              <w:jc w:val="center"/>
              <w:rPr>
                <w:rFonts w:ascii="仿宋" w:hAnsi="仿宋" w:eastAsia="仿宋"/>
                <w:sz w:val="32"/>
                <w:szCs w:val="32"/>
              </w:rPr>
            </w:pPr>
            <w:r>
              <w:rPr>
                <w:rFonts w:hint="eastAsia" w:ascii="仿宋" w:hAnsi="仿宋" w:eastAsia="仿宋"/>
                <w:sz w:val="32"/>
                <w:szCs w:val="32"/>
              </w:rPr>
              <w:t>60</w:t>
            </w:r>
          </w:p>
        </w:tc>
      </w:tr>
      <w:tr w14:paraId="0726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14:paraId="2F2454D6">
            <w:pPr>
              <w:spacing w:line="560" w:lineRule="exact"/>
              <w:jc w:val="center"/>
              <w:rPr>
                <w:rFonts w:ascii="仿宋" w:hAnsi="仿宋" w:eastAsia="仿宋"/>
                <w:sz w:val="32"/>
                <w:szCs w:val="32"/>
              </w:rPr>
            </w:pPr>
            <w:r>
              <w:rPr>
                <w:rFonts w:hint="eastAsia" w:ascii="仿宋" w:hAnsi="仿宋" w:eastAsia="仿宋"/>
                <w:sz w:val="32"/>
                <w:szCs w:val="32"/>
              </w:rPr>
              <w:t>不及格</w:t>
            </w:r>
          </w:p>
        </w:tc>
        <w:tc>
          <w:tcPr>
            <w:tcW w:w="2935" w:type="dxa"/>
          </w:tcPr>
          <w:p w14:paraId="2F636A76">
            <w:pPr>
              <w:spacing w:line="560" w:lineRule="exact"/>
              <w:jc w:val="center"/>
              <w:rPr>
                <w:rFonts w:ascii="仿宋" w:hAnsi="仿宋" w:eastAsia="仿宋"/>
                <w:sz w:val="32"/>
                <w:szCs w:val="32"/>
              </w:rPr>
            </w:pPr>
            <w:r>
              <w:rPr>
                <w:rFonts w:hint="eastAsia" w:ascii="仿宋" w:hAnsi="仿宋" w:eastAsia="仿宋"/>
                <w:sz w:val="32"/>
                <w:szCs w:val="32"/>
              </w:rPr>
              <w:t>0</w:t>
            </w:r>
          </w:p>
        </w:tc>
      </w:tr>
    </w:tbl>
    <w:p w14:paraId="4A3F637D">
      <w:pPr>
        <w:spacing w:line="560" w:lineRule="exact"/>
        <w:jc w:val="left"/>
        <w:rPr>
          <w:rFonts w:ascii="仿宋" w:hAnsi="仿宋" w:eastAsia="仿宋"/>
          <w:sz w:val="32"/>
          <w:szCs w:val="32"/>
        </w:rPr>
      </w:pPr>
    </w:p>
    <w:p w14:paraId="540FE7E9">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采取分级教学的英语课程，同一学期不同级别的英语成绩采用课程成绩乘以系数的办法计入成绩。具体为：第一、二、三、四学期分别以一、二、三、四级作为基准级，系数为1；各学期每高一级系数在基准级基础上增加0.1，每低一级系数在基准级基础上减少0.1。</w:t>
      </w:r>
    </w:p>
    <w:p w14:paraId="3F473236">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免修的课程和采用二级制记载成绩（不含补考）的课程，不纳入计算。</w:t>
      </w:r>
    </w:p>
    <w:p w14:paraId="28D87F42">
      <w:pPr>
        <w:spacing w:line="560" w:lineRule="exact"/>
        <w:ind w:firstLine="640" w:firstLineChars="200"/>
        <w:jc w:val="left"/>
        <w:rPr>
          <w:rFonts w:ascii="仿宋" w:hAnsi="仿宋" w:eastAsia="仿宋"/>
          <w:sz w:val="32"/>
          <w:szCs w:val="32"/>
        </w:rPr>
      </w:pPr>
    </w:p>
    <w:p w14:paraId="2068556E">
      <w:pPr>
        <w:spacing w:line="560" w:lineRule="exact"/>
        <w:jc w:val="center"/>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六</w:t>
      </w:r>
      <w:r>
        <w:rPr>
          <w:rFonts w:ascii="仿宋" w:hAnsi="仿宋" w:eastAsia="仿宋"/>
          <w:b/>
          <w:sz w:val="32"/>
          <w:szCs w:val="32"/>
        </w:rPr>
        <w:t>章</w:t>
      </w:r>
      <w:r>
        <w:rPr>
          <w:rFonts w:hint="eastAsia" w:ascii="仿宋" w:hAnsi="仿宋" w:eastAsia="仿宋"/>
          <w:b/>
          <w:sz w:val="32"/>
          <w:szCs w:val="32"/>
        </w:rPr>
        <w:t xml:space="preserve">  工作程序</w:t>
      </w:r>
    </w:p>
    <w:p w14:paraId="060B95B1">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各学院计算学生前三学年（五年制专业为前四学年）平均学业成绩，经学院推免生遴选工作小组审核确定后，向学生公布。</w:t>
      </w:r>
    </w:p>
    <w:p w14:paraId="5C53EF00">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符合第七条推免生选拔基本条件的学生，在规定时间内向所在学院提出书面申请，并提供符合第九条相关规定的证明材料或者综合评价加分所有相关证明材料。</w:t>
      </w:r>
    </w:p>
    <w:p w14:paraId="697E0DA7">
      <w:pPr>
        <w:spacing w:line="560" w:lineRule="exact"/>
        <w:ind w:firstLine="643" w:firstLineChars="200"/>
        <w:jc w:val="left"/>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二十四</w:t>
      </w:r>
      <w:r>
        <w:rPr>
          <w:rFonts w:ascii="仿宋" w:hAnsi="仿宋" w:eastAsia="仿宋"/>
          <w:b/>
          <w:sz w:val="32"/>
          <w:szCs w:val="32"/>
        </w:rPr>
        <w:t>条</w:t>
      </w:r>
      <w:r>
        <w:rPr>
          <w:rFonts w:hint="eastAsia" w:ascii="仿宋" w:hAnsi="仿宋" w:eastAsia="仿宋"/>
          <w:sz w:val="32"/>
          <w:szCs w:val="32"/>
        </w:rPr>
        <w:t xml:space="preserve">  各学院推免生遴选工作小组对学生提交的证明材料进行审核，对综合评价加分申请进行综合评议并确定加分，在学院进行线上和线下公示。</w:t>
      </w:r>
    </w:p>
    <w:p w14:paraId="61EF6FE5">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各学院根据学校推免生遴选工作领导小组审定的指标数确定学院拟推免生名单。符合第九条者，直接列入学院拟推免生名单且优先排序；符合第十条者，学院推免生遴选工作小组严格审核，集体研究决定是否列入学院拟推免生名单及具体排序；其余按照以德为先、质量为重、择优推荐的原则进行综合考核，依据综合评价成绩由高分到低分的顺序确定。拟推免生人数必须控制在学校推免生遴选工作领导小组审定的指标数内，同时推荐学院指标总数的10%以内的“后备”人选。拟推免生名单及后备名单必须在学院进行线上和线下公示，接受广大师生的监督。研究生支教团专项推免工作由校团委负责具体落实，拟推免生名单通过笔试加面试的方式排序确定。</w:t>
      </w:r>
    </w:p>
    <w:p w14:paraId="30495283">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拟推免生名单及后备名单经学校推免生遴选工作领导小组审议确定后，在全校范围内进行公示。</w:t>
      </w:r>
    </w:p>
    <w:p w14:paraId="6A717826">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公示无异议后，学校将推免生名单报省招办审核。</w:t>
      </w:r>
    </w:p>
    <w:p w14:paraId="2BDF59EF">
      <w:pPr>
        <w:spacing w:line="560" w:lineRule="exact"/>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七</w:t>
      </w:r>
      <w:r>
        <w:rPr>
          <w:rFonts w:ascii="仿宋" w:hAnsi="仿宋" w:eastAsia="仿宋"/>
          <w:b/>
          <w:sz w:val="32"/>
          <w:szCs w:val="32"/>
        </w:rPr>
        <w:t>章</w:t>
      </w:r>
      <w:r>
        <w:rPr>
          <w:rFonts w:hint="eastAsia" w:ascii="仿宋" w:hAnsi="仿宋" w:eastAsia="仿宋"/>
          <w:b/>
          <w:sz w:val="32"/>
          <w:szCs w:val="32"/>
        </w:rPr>
        <w:t xml:space="preserve">  附则</w:t>
      </w:r>
    </w:p>
    <w:p w14:paraId="2310FA77">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学生毕业前，出现下列情况之一者，学校将取消其推免生资格：</w:t>
      </w:r>
    </w:p>
    <w:p w14:paraId="3DCDCC8F">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（一）被发现在推荐过程中有弄虚作假、徇私舞弊；</w:t>
      </w:r>
    </w:p>
    <w:p w14:paraId="391E0EF3">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（二）违法违纪受到警告及以上处分；</w:t>
      </w:r>
    </w:p>
    <w:p w14:paraId="7160ED0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（三）第四学年（五年制专业为第五学年）必修（含实践性）课程成绩低于60分；</w:t>
      </w:r>
    </w:p>
    <w:p w14:paraId="588B4F4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（四）毕业时未能获得毕业证书和学位证书。</w:t>
      </w:r>
    </w:p>
    <w:p w14:paraId="3BB8C127">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各学院应做好推免生的诚信教育，学生在获得推免生资格时需签订《诚信承诺书》。对因放弃推免生资格而造成推免生名额作废者，将在其学生档案中如实记载。</w:t>
      </w:r>
    </w:p>
    <w:p w14:paraId="7532CA1D">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对推免生工作有异议的，可在公示期内向学校推免生遴选工作领导小组提出书面申诉。</w:t>
      </w:r>
    </w:p>
    <w:p w14:paraId="30E7A3C8">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本办法中条款如与教育部最新关于免试研究生推荐相关文件不一致的，以教育部文件为准。</w:t>
      </w:r>
    </w:p>
    <w:p w14:paraId="2C8427C8">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本办法自二0一八级入校学生起执行，</w:t>
      </w:r>
      <w:r>
        <w:rPr>
          <w:rFonts w:hint="eastAsia" w:ascii="仿宋" w:hAnsi="仿宋" w:eastAsia="仿宋"/>
          <w:color w:val="000000" w:themeColor="text1"/>
          <w:sz w:val="32"/>
          <w:szCs w:val="32"/>
        </w:rPr>
        <w:t>原《</w:t>
      </w:r>
      <w:r>
        <w:fldChar w:fldCharType="begin"/>
      </w:r>
      <w:r>
        <w:instrText xml:space="preserve"> HYPERLINK "http://bg.hfut.edu.cn/forum/download.do?attachId=38008" \o "合肥工业大学推荐优秀应届本科毕业生免试攻读硕士学位研究生工作暂行办法.docx" </w:instrText>
      </w:r>
      <w:r>
        <w:fldChar w:fldCharType="separate"/>
      </w:r>
      <w:r>
        <w:rPr>
          <w:rFonts w:ascii="仿宋" w:hAnsi="仿宋" w:eastAsia="仿宋"/>
          <w:color w:val="000000" w:themeColor="text1"/>
          <w:sz w:val="32"/>
          <w:szCs w:val="32"/>
        </w:rPr>
        <w:t>合肥工业大学推荐优秀应届本科毕业生免试攻读硕士学位研究生工作暂行办法</w:t>
      </w:r>
      <w:r>
        <w:rPr>
          <w:rFonts w:ascii="仿宋" w:hAnsi="仿宋" w:eastAsia="仿宋"/>
          <w:color w:val="000000" w:themeColor="text1"/>
          <w:sz w:val="32"/>
          <w:szCs w:val="32"/>
        </w:rPr>
        <w:fldChar w:fldCharType="end"/>
      </w:r>
      <w:r>
        <w:rPr>
          <w:rFonts w:hint="eastAsia" w:ascii="仿宋" w:hAnsi="仿宋" w:eastAsia="仿宋"/>
          <w:color w:val="000000" w:themeColor="text1"/>
          <w:sz w:val="32"/>
          <w:szCs w:val="32"/>
        </w:rPr>
        <w:t>》（合工大政发〔2018〕88号）、《合肥工业大学推荐优秀应届本科毕业生免试攻读硕士学位研究生工作暂行办法（修订稿）》合工大政发〔20</w:t>
      </w:r>
      <w:r>
        <w:rPr>
          <w:rFonts w:ascii="仿宋" w:hAnsi="仿宋" w:eastAsia="仿宋"/>
          <w:color w:val="000000" w:themeColor="text1"/>
          <w:sz w:val="32"/>
          <w:szCs w:val="32"/>
        </w:rPr>
        <w:t>21</w:t>
      </w:r>
      <w:r>
        <w:rPr>
          <w:rFonts w:hint="eastAsia" w:ascii="仿宋" w:hAnsi="仿宋" w:eastAsia="仿宋"/>
          <w:color w:val="000000" w:themeColor="text1"/>
          <w:sz w:val="32"/>
          <w:szCs w:val="32"/>
        </w:rPr>
        <w:t>〕1</w:t>
      </w:r>
      <w:r>
        <w:rPr>
          <w:rFonts w:ascii="仿宋" w:hAnsi="仿宋" w:eastAsia="仿宋"/>
          <w:color w:val="000000" w:themeColor="text1"/>
          <w:sz w:val="32"/>
          <w:szCs w:val="32"/>
        </w:rPr>
        <w:t>7</w:t>
      </w:r>
      <w:r>
        <w:rPr>
          <w:rFonts w:hint="eastAsia" w:ascii="仿宋" w:hAnsi="仿宋" w:eastAsia="仿宋"/>
          <w:color w:val="000000" w:themeColor="text1"/>
          <w:sz w:val="32"/>
          <w:szCs w:val="32"/>
        </w:rPr>
        <w:t>号）同时废止，</w:t>
      </w:r>
      <w:r>
        <w:rPr>
          <w:rFonts w:hint="eastAsia" w:ascii="仿宋" w:hAnsi="仿宋" w:eastAsia="仿宋"/>
          <w:sz w:val="32"/>
          <w:szCs w:val="32"/>
        </w:rPr>
        <w:t>学校授权本科生院教务处对本办法进行解释和修订。</w:t>
      </w: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692360"/>
      <w:docPartObj>
        <w:docPartGallery w:val="AutoText"/>
      </w:docPartObj>
    </w:sdtPr>
    <w:sdtEndPr>
      <w:rPr>
        <w:rFonts w:asciiTheme="minorEastAsia" w:hAnsiTheme="minorEastAsia"/>
        <w:sz w:val="28"/>
      </w:rPr>
    </w:sdtEndPr>
    <w:sdtContent>
      <w:p w14:paraId="0CC5C0B2">
        <w:pPr>
          <w:pStyle w:val="4"/>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14:paraId="67B961C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E8"/>
    <w:rsid w:val="00012DD1"/>
    <w:rsid w:val="00040C16"/>
    <w:rsid w:val="00041185"/>
    <w:rsid w:val="00054C79"/>
    <w:rsid w:val="0006153A"/>
    <w:rsid w:val="000640F0"/>
    <w:rsid w:val="000B00F4"/>
    <w:rsid w:val="000B1062"/>
    <w:rsid w:val="000D6571"/>
    <w:rsid w:val="000F0B04"/>
    <w:rsid w:val="0010776F"/>
    <w:rsid w:val="00121A15"/>
    <w:rsid w:val="00134C5E"/>
    <w:rsid w:val="00141A22"/>
    <w:rsid w:val="0015485D"/>
    <w:rsid w:val="0015632C"/>
    <w:rsid w:val="00160013"/>
    <w:rsid w:val="001634DF"/>
    <w:rsid w:val="00186737"/>
    <w:rsid w:val="00194084"/>
    <w:rsid w:val="001A5697"/>
    <w:rsid w:val="001A67BB"/>
    <w:rsid w:val="001B4F93"/>
    <w:rsid w:val="001B62AE"/>
    <w:rsid w:val="001B69E4"/>
    <w:rsid w:val="001D55F8"/>
    <w:rsid w:val="001E025A"/>
    <w:rsid w:val="001E1A1A"/>
    <w:rsid w:val="001E2779"/>
    <w:rsid w:val="001F02EB"/>
    <w:rsid w:val="001F2F51"/>
    <w:rsid w:val="001F43CC"/>
    <w:rsid w:val="001F546D"/>
    <w:rsid w:val="002053A2"/>
    <w:rsid w:val="002130D9"/>
    <w:rsid w:val="002203AC"/>
    <w:rsid w:val="0023438D"/>
    <w:rsid w:val="00237DC1"/>
    <w:rsid w:val="002418C9"/>
    <w:rsid w:val="00243875"/>
    <w:rsid w:val="00247DEA"/>
    <w:rsid w:val="0027091C"/>
    <w:rsid w:val="00282B87"/>
    <w:rsid w:val="002852B2"/>
    <w:rsid w:val="002867B0"/>
    <w:rsid w:val="00286893"/>
    <w:rsid w:val="00292F6B"/>
    <w:rsid w:val="00296D70"/>
    <w:rsid w:val="002A3C45"/>
    <w:rsid w:val="002B2AD5"/>
    <w:rsid w:val="002B3006"/>
    <w:rsid w:val="002B64E4"/>
    <w:rsid w:val="002C2289"/>
    <w:rsid w:val="002D0CB9"/>
    <w:rsid w:val="002D1D46"/>
    <w:rsid w:val="002D2F9C"/>
    <w:rsid w:val="002D4E1B"/>
    <w:rsid w:val="002F272A"/>
    <w:rsid w:val="002F2F24"/>
    <w:rsid w:val="002F724F"/>
    <w:rsid w:val="00305FE5"/>
    <w:rsid w:val="00307B4C"/>
    <w:rsid w:val="00307E38"/>
    <w:rsid w:val="0031741D"/>
    <w:rsid w:val="003257A6"/>
    <w:rsid w:val="00345AAA"/>
    <w:rsid w:val="003466D0"/>
    <w:rsid w:val="00356A2A"/>
    <w:rsid w:val="003621EF"/>
    <w:rsid w:val="00370989"/>
    <w:rsid w:val="00380C7B"/>
    <w:rsid w:val="00383D6E"/>
    <w:rsid w:val="0039448B"/>
    <w:rsid w:val="003A28B0"/>
    <w:rsid w:val="003E0B7F"/>
    <w:rsid w:val="003E24CB"/>
    <w:rsid w:val="00403531"/>
    <w:rsid w:val="00403EA3"/>
    <w:rsid w:val="00413A0E"/>
    <w:rsid w:val="00421A1A"/>
    <w:rsid w:val="00425E2B"/>
    <w:rsid w:val="004306A5"/>
    <w:rsid w:val="00452070"/>
    <w:rsid w:val="004616CF"/>
    <w:rsid w:val="00462707"/>
    <w:rsid w:val="00465370"/>
    <w:rsid w:val="0046666D"/>
    <w:rsid w:val="00471D08"/>
    <w:rsid w:val="00482A83"/>
    <w:rsid w:val="00493714"/>
    <w:rsid w:val="004A2630"/>
    <w:rsid w:val="004C3BD5"/>
    <w:rsid w:val="004C46BF"/>
    <w:rsid w:val="004C65BA"/>
    <w:rsid w:val="004E7140"/>
    <w:rsid w:val="004E7861"/>
    <w:rsid w:val="005044AD"/>
    <w:rsid w:val="00533944"/>
    <w:rsid w:val="0058359F"/>
    <w:rsid w:val="005923A7"/>
    <w:rsid w:val="005A3444"/>
    <w:rsid w:val="005C0B1D"/>
    <w:rsid w:val="005D1CA8"/>
    <w:rsid w:val="005D301F"/>
    <w:rsid w:val="005E1114"/>
    <w:rsid w:val="005E62FE"/>
    <w:rsid w:val="0060113D"/>
    <w:rsid w:val="00601F10"/>
    <w:rsid w:val="0060391C"/>
    <w:rsid w:val="00614427"/>
    <w:rsid w:val="0062008C"/>
    <w:rsid w:val="00621A70"/>
    <w:rsid w:val="00622F84"/>
    <w:rsid w:val="006276FC"/>
    <w:rsid w:val="00641A2E"/>
    <w:rsid w:val="00644056"/>
    <w:rsid w:val="00663C76"/>
    <w:rsid w:val="00664C8F"/>
    <w:rsid w:val="00665854"/>
    <w:rsid w:val="00671280"/>
    <w:rsid w:val="00692C7C"/>
    <w:rsid w:val="00695135"/>
    <w:rsid w:val="006C75D1"/>
    <w:rsid w:val="006D1660"/>
    <w:rsid w:val="006D7885"/>
    <w:rsid w:val="006E3802"/>
    <w:rsid w:val="006E493F"/>
    <w:rsid w:val="006E5F0E"/>
    <w:rsid w:val="006F20CB"/>
    <w:rsid w:val="006F70BF"/>
    <w:rsid w:val="0070450F"/>
    <w:rsid w:val="007101CF"/>
    <w:rsid w:val="00710F8B"/>
    <w:rsid w:val="00713DEA"/>
    <w:rsid w:val="007730D3"/>
    <w:rsid w:val="00775273"/>
    <w:rsid w:val="00777D33"/>
    <w:rsid w:val="00792828"/>
    <w:rsid w:val="007A0859"/>
    <w:rsid w:val="007A5A94"/>
    <w:rsid w:val="007B3D55"/>
    <w:rsid w:val="007B7125"/>
    <w:rsid w:val="007C0029"/>
    <w:rsid w:val="007E41FD"/>
    <w:rsid w:val="007F7EB6"/>
    <w:rsid w:val="00805E34"/>
    <w:rsid w:val="008310E6"/>
    <w:rsid w:val="008428BE"/>
    <w:rsid w:val="0084390A"/>
    <w:rsid w:val="00857095"/>
    <w:rsid w:val="00866AB0"/>
    <w:rsid w:val="00883E4D"/>
    <w:rsid w:val="0089253C"/>
    <w:rsid w:val="008A5FDB"/>
    <w:rsid w:val="008B1562"/>
    <w:rsid w:val="008E11ED"/>
    <w:rsid w:val="008E1CD2"/>
    <w:rsid w:val="008E3D80"/>
    <w:rsid w:val="008F76FF"/>
    <w:rsid w:val="00904F94"/>
    <w:rsid w:val="00906282"/>
    <w:rsid w:val="00907A61"/>
    <w:rsid w:val="009151C1"/>
    <w:rsid w:val="0091564A"/>
    <w:rsid w:val="00917961"/>
    <w:rsid w:val="00942386"/>
    <w:rsid w:val="00947D2E"/>
    <w:rsid w:val="009568FE"/>
    <w:rsid w:val="009653C8"/>
    <w:rsid w:val="0099200F"/>
    <w:rsid w:val="009A1AC3"/>
    <w:rsid w:val="009A36B2"/>
    <w:rsid w:val="009A62A4"/>
    <w:rsid w:val="009B7285"/>
    <w:rsid w:val="009C0ACA"/>
    <w:rsid w:val="009C6171"/>
    <w:rsid w:val="009C75BC"/>
    <w:rsid w:val="009F6BBD"/>
    <w:rsid w:val="00A005D4"/>
    <w:rsid w:val="00A06E92"/>
    <w:rsid w:val="00A14787"/>
    <w:rsid w:val="00A15CD5"/>
    <w:rsid w:val="00A16935"/>
    <w:rsid w:val="00A20CE4"/>
    <w:rsid w:val="00A34A16"/>
    <w:rsid w:val="00A360C9"/>
    <w:rsid w:val="00A41908"/>
    <w:rsid w:val="00A555AF"/>
    <w:rsid w:val="00A62576"/>
    <w:rsid w:val="00A67340"/>
    <w:rsid w:val="00A67CFB"/>
    <w:rsid w:val="00A71DC3"/>
    <w:rsid w:val="00A73FD4"/>
    <w:rsid w:val="00A75EF4"/>
    <w:rsid w:val="00A80933"/>
    <w:rsid w:val="00AC75AE"/>
    <w:rsid w:val="00AD0B2E"/>
    <w:rsid w:val="00B029FD"/>
    <w:rsid w:val="00B121F9"/>
    <w:rsid w:val="00B143CE"/>
    <w:rsid w:val="00B223E8"/>
    <w:rsid w:val="00B2297C"/>
    <w:rsid w:val="00B47BEF"/>
    <w:rsid w:val="00B52367"/>
    <w:rsid w:val="00B579DB"/>
    <w:rsid w:val="00B649EB"/>
    <w:rsid w:val="00B66EF0"/>
    <w:rsid w:val="00B93A04"/>
    <w:rsid w:val="00BB2A9A"/>
    <w:rsid w:val="00BE4DA9"/>
    <w:rsid w:val="00BE5AFD"/>
    <w:rsid w:val="00BE70D0"/>
    <w:rsid w:val="00BE7ED3"/>
    <w:rsid w:val="00BF45A3"/>
    <w:rsid w:val="00C16E00"/>
    <w:rsid w:val="00C23A9B"/>
    <w:rsid w:val="00C27323"/>
    <w:rsid w:val="00C27703"/>
    <w:rsid w:val="00C3512A"/>
    <w:rsid w:val="00C52D79"/>
    <w:rsid w:val="00C53CEA"/>
    <w:rsid w:val="00C56605"/>
    <w:rsid w:val="00C57E88"/>
    <w:rsid w:val="00C70072"/>
    <w:rsid w:val="00C739C2"/>
    <w:rsid w:val="00C82814"/>
    <w:rsid w:val="00C867E2"/>
    <w:rsid w:val="00C91491"/>
    <w:rsid w:val="00C93F65"/>
    <w:rsid w:val="00CA1CF7"/>
    <w:rsid w:val="00CA2BE5"/>
    <w:rsid w:val="00CA2F0B"/>
    <w:rsid w:val="00CB76BB"/>
    <w:rsid w:val="00CC1398"/>
    <w:rsid w:val="00CC53C1"/>
    <w:rsid w:val="00CD1882"/>
    <w:rsid w:val="00CD1DEB"/>
    <w:rsid w:val="00CD42FB"/>
    <w:rsid w:val="00CD6CCD"/>
    <w:rsid w:val="00CE54DE"/>
    <w:rsid w:val="00CF3017"/>
    <w:rsid w:val="00D147F3"/>
    <w:rsid w:val="00D14FFE"/>
    <w:rsid w:val="00D406D9"/>
    <w:rsid w:val="00D566BC"/>
    <w:rsid w:val="00D84535"/>
    <w:rsid w:val="00D86757"/>
    <w:rsid w:val="00D870B4"/>
    <w:rsid w:val="00D93C07"/>
    <w:rsid w:val="00DA7389"/>
    <w:rsid w:val="00DB28B5"/>
    <w:rsid w:val="00DB4301"/>
    <w:rsid w:val="00DC058F"/>
    <w:rsid w:val="00DC5200"/>
    <w:rsid w:val="00DD5FD3"/>
    <w:rsid w:val="00DD698D"/>
    <w:rsid w:val="00E0110D"/>
    <w:rsid w:val="00E01233"/>
    <w:rsid w:val="00E045BB"/>
    <w:rsid w:val="00E0641B"/>
    <w:rsid w:val="00E32C8F"/>
    <w:rsid w:val="00E431EB"/>
    <w:rsid w:val="00E5091A"/>
    <w:rsid w:val="00E60F95"/>
    <w:rsid w:val="00E64AE7"/>
    <w:rsid w:val="00E6669A"/>
    <w:rsid w:val="00E71F5C"/>
    <w:rsid w:val="00E87CDB"/>
    <w:rsid w:val="00EA307B"/>
    <w:rsid w:val="00EA39EC"/>
    <w:rsid w:val="00EA5559"/>
    <w:rsid w:val="00EB0C64"/>
    <w:rsid w:val="00EC1D43"/>
    <w:rsid w:val="00EC517F"/>
    <w:rsid w:val="00EC6DFE"/>
    <w:rsid w:val="00ED271B"/>
    <w:rsid w:val="00ED47E5"/>
    <w:rsid w:val="00EE6BA7"/>
    <w:rsid w:val="00EE7E9F"/>
    <w:rsid w:val="00EF405A"/>
    <w:rsid w:val="00F00769"/>
    <w:rsid w:val="00F069C6"/>
    <w:rsid w:val="00F15FA4"/>
    <w:rsid w:val="00F24296"/>
    <w:rsid w:val="00F27CD4"/>
    <w:rsid w:val="00F33B7E"/>
    <w:rsid w:val="00F352CA"/>
    <w:rsid w:val="00F60141"/>
    <w:rsid w:val="00F60524"/>
    <w:rsid w:val="00F635F0"/>
    <w:rsid w:val="00F6443F"/>
    <w:rsid w:val="00F65D2A"/>
    <w:rsid w:val="00F70DD9"/>
    <w:rsid w:val="00F86265"/>
    <w:rsid w:val="00F904F5"/>
    <w:rsid w:val="00F92B18"/>
    <w:rsid w:val="00F93A07"/>
    <w:rsid w:val="00FA06D8"/>
    <w:rsid w:val="00FA5625"/>
    <w:rsid w:val="00FC00A3"/>
    <w:rsid w:val="00FC2F02"/>
    <w:rsid w:val="00FC42DF"/>
    <w:rsid w:val="00FC7352"/>
    <w:rsid w:val="00FC7381"/>
    <w:rsid w:val="00FD342C"/>
    <w:rsid w:val="00FD3F72"/>
    <w:rsid w:val="00FD5567"/>
    <w:rsid w:val="00FE4163"/>
    <w:rsid w:val="00FE4E88"/>
    <w:rsid w:val="00FE6058"/>
    <w:rsid w:val="00FF481F"/>
    <w:rsid w:val="1052267E"/>
    <w:rsid w:val="59237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批注文字 Char"/>
    <w:basedOn w:val="9"/>
    <w:link w:val="2"/>
    <w:semiHidden/>
    <w:uiPriority w:val="99"/>
  </w:style>
  <w:style w:type="character" w:customStyle="1" w:styleId="15">
    <w:name w:val="批注主题 Char"/>
    <w:basedOn w:val="14"/>
    <w:link w:val="6"/>
    <w:semiHidden/>
    <w:qFormat/>
    <w:uiPriority w:val="99"/>
    <w:rPr>
      <w:b/>
      <w:bCs/>
    </w:rPr>
  </w:style>
  <w:style w:type="paragraph" w:customStyle="1" w:styleId="16">
    <w:name w:val="修订1"/>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32BB-BFB5-49EC-8295-8ECE809EEB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3434</Words>
  <Characters>3490</Characters>
  <Lines>26</Lines>
  <Paragraphs>7</Paragraphs>
  <TotalTime>169</TotalTime>
  <ScaleCrop>false</ScaleCrop>
  <LinksUpToDate>false</LinksUpToDate>
  <CharactersWithSpaces>3568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2020-12-17T07:03:00Z</dcterms:created>
  <dc:creator>Windows 用户</dc:creator>
  <cp:lastModifiedBy>小向</cp:lastModifiedBy>
  <cp:lastPrinted>2019-11-12T03:37:00Z</cp:lastPrinted>
  <dcterms:modified xsi:type="dcterms:W3CDTF">2024-11-25T08:32:10Z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8C6A5C5935C748C2B81FB94612CC5CC1_13</vt:lpwstr>
  </property>
</Properties>
</file>