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5B00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rFonts w:ascii="方正小标宋简体" w:eastAsia="方正小标宋简体" w:hAnsi="仿宋"/>
          <w:b w:val="0"/>
          <w:color w:val="333333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  <w:lang w:val="en-US"/>
        </w:rPr>
        <w:t>化工学院</w:t>
      </w:r>
      <w:r>
        <w:rPr>
          <w:rStyle w:val="a6"/>
          <w:rFonts w:ascii="方正小标宋简体" w:eastAsia="方正小标宋简体" w:hAnsi="仿宋" w:hint="eastAsia"/>
          <w:b w:val="0"/>
          <w:color w:val="333333"/>
          <w:sz w:val="36"/>
          <w:szCs w:val="36"/>
          <w:lang w:val="en-US"/>
        </w:rPr>
        <w:t>关于</w:t>
      </w:r>
      <w:r>
        <w:rPr>
          <w:rStyle w:val="a6"/>
          <w:rFonts w:ascii="方正小标宋简体" w:eastAsia="方正小标宋简体" w:hAnsi="仿宋" w:hint="eastAsia"/>
          <w:b w:val="0"/>
          <w:color w:val="333333"/>
          <w:sz w:val="36"/>
          <w:szCs w:val="36"/>
        </w:rPr>
        <w:t>推荐优秀应届本科毕业生免试</w:t>
      </w:r>
    </w:p>
    <w:p w:rsidR="007B3C41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Style w:val="a6"/>
          <w:rFonts w:ascii="方正小标宋简体" w:eastAsia="方正小标宋简体" w:hAnsi="仿宋" w:hint="eastAsia"/>
          <w:b w:val="0"/>
          <w:color w:val="333333"/>
          <w:sz w:val="36"/>
          <w:szCs w:val="36"/>
        </w:rPr>
        <w:t>攻读研究生</w:t>
      </w:r>
      <w:r>
        <w:rPr>
          <w:rFonts w:ascii="方正小标宋简体" w:eastAsia="方正小标宋简体" w:hAnsi="仿宋" w:hint="eastAsia"/>
          <w:sz w:val="36"/>
          <w:szCs w:val="36"/>
        </w:rPr>
        <w:t>综合能力成绩评分细则</w:t>
      </w:r>
    </w:p>
    <w:p w:rsidR="007B3C41" w:rsidRDefault="007B3C41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B3C41" w:rsidRDefault="00000000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</w:rPr>
        <w:t>为全面贯彻党的教育方针，培养具有创新精神和实践能力的高素质人才，激励我校学生全面发展，培养口径宽、基础厚、能力强、素质高的复合型人才，引导学生自觉提高综合素质，适应当前社会对人才培养的需要，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根据上级推免文件和《福州大学推荐优秀应届本科毕业生免试攻读研究生工作实施办法（2022年修订）》要求，特制定本评分细则。</w:t>
      </w:r>
    </w:p>
    <w:p w:rsidR="007B3C41" w:rsidRDefault="00000000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int="eastAsia"/>
          <w:bCs/>
          <w:kern w:val="2"/>
          <w:sz w:val="32"/>
          <w:szCs w:val="32"/>
        </w:rPr>
        <w:t>推荐优秀应届本科毕业生免试攻读研究生</w:t>
      </w:r>
      <w:r>
        <w:rPr>
          <w:rFonts w:ascii="仿宋" w:eastAsia="仿宋" w:hAnsi="仿宋" w:hint="eastAsia"/>
          <w:kern w:val="2"/>
          <w:sz w:val="32"/>
          <w:szCs w:val="32"/>
        </w:rPr>
        <w:t>综合能力</w:t>
      </w:r>
      <w:r>
        <w:rPr>
          <w:rFonts w:ascii="仿宋" w:eastAsia="仿宋" w:hAnsi="仿宋" w:hint="eastAsia"/>
          <w:sz w:val="32"/>
          <w:szCs w:val="32"/>
        </w:rPr>
        <w:t>由学院组织考核后形成，主要考核学生参军入伍服兵役、参加志愿服务、到国际组织实习、科研成果、竞赛获奖等项目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综合能力考核</w:t>
      </w:r>
      <w:r>
        <w:rPr>
          <w:rFonts w:ascii="仿宋" w:eastAsia="仿宋" w:hAnsi="仿宋" w:hint="eastAsia"/>
          <w:sz w:val="32"/>
          <w:szCs w:val="32"/>
          <w:lang w:val="en-US"/>
        </w:rPr>
        <w:t>总分为100分，</w:t>
      </w:r>
      <w:r>
        <w:rPr>
          <w:rFonts w:ascii="仿宋" w:eastAsia="仿宋" w:hAnsi="仿宋"/>
          <w:sz w:val="32"/>
          <w:szCs w:val="32"/>
        </w:rPr>
        <w:t>根据学生表现</w:t>
      </w:r>
      <w:r>
        <w:rPr>
          <w:rFonts w:ascii="仿宋" w:eastAsia="仿宋" w:hAnsi="仿宋" w:hint="eastAsia"/>
          <w:sz w:val="32"/>
          <w:szCs w:val="32"/>
        </w:rPr>
        <w:t>按以下细则</w:t>
      </w:r>
      <w:r>
        <w:rPr>
          <w:rFonts w:ascii="仿宋" w:eastAsia="仿宋" w:hAnsi="仿宋"/>
          <w:sz w:val="32"/>
          <w:szCs w:val="32"/>
        </w:rPr>
        <w:t>进行加分。</w:t>
      </w:r>
    </w:p>
    <w:p w:rsidR="007B3C41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653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参军入伍服兵役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：10分；</w:t>
      </w:r>
    </w:p>
    <w:p w:rsidR="007B3C41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653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志愿服务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lang w:val="en-US"/>
        </w:rPr>
        <w:t>学生在读期间</w:t>
      </w:r>
      <w:r>
        <w:rPr>
          <w:rFonts w:ascii="仿宋" w:eastAsia="仿宋" w:hAnsi="仿宋"/>
          <w:sz w:val="32"/>
          <w:szCs w:val="32"/>
        </w:rPr>
        <w:t>参加志愿服务</w:t>
      </w:r>
      <w:r>
        <w:rPr>
          <w:rFonts w:ascii="仿宋" w:eastAsia="仿宋" w:hAnsi="仿宋" w:hint="eastAsia"/>
          <w:sz w:val="32"/>
          <w:szCs w:val="32"/>
          <w:lang w:val="en-US"/>
        </w:rPr>
        <w:t>活动累计时长（以志愿汇app系统的信用时长为准）</w:t>
      </w:r>
      <w:r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42"/>
        <w:gridCol w:w="2842"/>
      </w:tblGrid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时长（h）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得分</w:t>
            </w:r>
          </w:p>
        </w:tc>
      </w:tr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25-50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2</w:t>
            </w:r>
          </w:p>
        </w:tc>
      </w:tr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51-100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4</w:t>
            </w:r>
          </w:p>
        </w:tc>
      </w:tr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101-200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6</w:t>
            </w:r>
          </w:p>
        </w:tc>
      </w:tr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201-300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8</w:t>
            </w:r>
          </w:p>
        </w:tc>
      </w:tr>
      <w:tr w:rsidR="007B3C41">
        <w:trPr>
          <w:jc w:val="center"/>
        </w:trPr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lastRenderedPageBreak/>
              <w:t>300以上</w:t>
            </w:r>
          </w:p>
        </w:tc>
        <w:tc>
          <w:tcPr>
            <w:tcW w:w="2842" w:type="dxa"/>
          </w:tcPr>
          <w:p w:rsidR="007B3C41" w:rsidRDefault="00000000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en-US"/>
              </w:rPr>
              <w:t>10</w:t>
            </w:r>
          </w:p>
        </w:tc>
      </w:tr>
    </w:tbl>
    <w:p w:rsidR="007B3C41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653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国际组织实习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lang w:val="en-US"/>
        </w:rPr>
        <w:t>学生在读期间参与国际组织实习：10分；</w:t>
      </w:r>
    </w:p>
    <w:p w:rsidR="007B3C41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653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科研成果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lang w:val="en-US"/>
        </w:rPr>
        <w:t>学生在校期间发表学术论文、发明专利等，根据成果类型、贡献程度予以加分。</w:t>
      </w:r>
    </w:p>
    <w:p w:rsidR="007B3C41" w:rsidRDefault="00000000">
      <w:pPr>
        <w:pStyle w:val="a7"/>
        <w:tabs>
          <w:tab w:val="left" w:pos="820"/>
        </w:tabs>
        <w:spacing w:line="360" w:lineRule="auto"/>
        <w:ind w:left="0" w:firstLineChars="200" w:firstLine="653"/>
        <w:rPr>
          <w:rFonts w:ascii="仿宋" w:eastAsia="仿宋" w:hAnsi="仿宋"/>
          <w:b/>
          <w:bCs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  <w:lang w:val="en-US"/>
        </w:rPr>
        <w:t>1.学术论文</w:t>
      </w:r>
    </w:p>
    <w:p w:rsidR="007B3C41" w:rsidRDefault="00000000">
      <w:pPr>
        <w:pStyle w:val="a3"/>
        <w:spacing w:line="360" w:lineRule="auto"/>
        <w:ind w:left="0" w:firstLineChars="200" w:firstLine="640"/>
        <w:jc w:val="both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学生发表学科相关的学术论文，第一完成单位为福州大学，按以下标准加分：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810"/>
        <w:gridCol w:w="1810"/>
      </w:tblGrid>
      <w:tr w:rsidR="007B3C41">
        <w:trPr>
          <w:trHeight w:val="405"/>
          <w:jc w:val="center"/>
        </w:trPr>
        <w:tc>
          <w:tcPr>
            <w:tcW w:w="225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专利类型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第一作者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第二作者</w:t>
            </w:r>
          </w:p>
        </w:tc>
      </w:tr>
      <w:tr w:rsidR="007B3C41">
        <w:trPr>
          <w:trHeight w:val="400"/>
          <w:jc w:val="center"/>
        </w:trPr>
        <w:tc>
          <w:tcPr>
            <w:tcW w:w="225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顶级期刊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100分/篇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50分/篇</w:t>
            </w:r>
          </w:p>
        </w:tc>
      </w:tr>
      <w:tr w:rsidR="007B3C41">
        <w:trPr>
          <w:trHeight w:val="400"/>
          <w:jc w:val="center"/>
        </w:trPr>
        <w:tc>
          <w:tcPr>
            <w:tcW w:w="225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卓越期刊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50分/篇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25分/篇</w:t>
            </w:r>
          </w:p>
        </w:tc>
      </w:tr>
      <w:tr w:rsidR="007B3C41">
        <w:trPr>
          <w:trHeight w:val="400"/>
          <w:jc w:val="center"/>
        </w:trPr>
        <w:tc>
          <w:tcPr>
            <w:tcW w:w="225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国内核心期刊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20分/篇</w:t>
            </w:r>
          </w:p>
        </w:tc>
        <w:tc>
          <w:tcPr>
            <w:tcW w:w="1810" w:type="dxa"/>
            <w:vAlign w:val="center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10分/篇</w:t>
            </w:r>
          </w:p>
        </w:tc>
      </w:tr>
    </w:tbl>
    <w:p w:rsidR="007B3C41" w:rsidRDefault="00000000">
      <w:pPr>
        <w:pStyle w:val="a3"/>
        <w:spacing w:line="360" w:lineRule="auto"/>
        <w:ind w:firstLineChars="200" w:firstLine="653"/>
        <w:jc w:val="both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  <w:lang w:val="en-US"/>
        </w:rPr>
        <w:t>2.发明创造</w:t>
      </w:r>
    </w:p>
    <w:p w:rsidR="007B3C41" w:rsidRDefault="00000000">
      <w:pPr>
        <w:pStyle w:val="a3"/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学生发表专利，专利权人为福州大学的，且已获得授权，按以下标准加分：（此项累计获得不超过20分）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1916"/>
        <w:gridCol w:w="1917"/>
      </w:tblGrid>
      <w:tr w:rsidR="007B3C41">
        <w:trPr>
          <w:trHeight w:val="405"/>
          <w:jc w:val="center"/>
        </w:trPr>
        <w:tc>
          <w:tcPr>
            <w:tcW w:w="4181" w:type="dxa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专利类型</w:t>
            </w:r>
          </w:p>
        </w:tc>
        <w:tc>
          <w:tcPr>
            <w:tcW w:w="1916" w:type="dxa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第一发明人</w:t>
            </w:r>
          </w:p>
        </w:tc>
        <w:tc>
          <w:tcPr>
            <w:tcW w:w="1917" w:type="dxa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第二发明人</w:t>
            </w:r>
          </w:p>
        </w:tc>
      </w:tr>
      <w:tr w:rsidR="007B3C41">
        <w:trPr>
          <w:trHeight w:val="400"/>
          <w:jc w:val="center"/>
        </w:trPr>
        <w:tc>
          <w:tcPr>
            <w:tcW w:w="4181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国家发明专利</w:t>
            </w:r>
          </w:p>
        </w:tc>
        <w:tc>
          <w:tcPr>
            <w:tcW w:w="1916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20分/项</w:t>
            </w:r>
          </w:p>
        </w:tc>
        <w:tc>
          <w:tcPr>
            <w:tcW w:w="1917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10分/项</w:t>
            </w:r>
          </w:p>
        </w:tc>
      </w:tr>
      <w:tr w:rsidR="007B3C41">
        <w:trPr>
          <w:trHeight w:val="400"/>
          <w:jc w:val="center"/>
        </w:trPr>
        <w:tc>
          <w:tcPr>
            <w:tcW w:w="4181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国家实用新型</w:t>
            </w:r>
          </w:p>
        </w:tc>
        <w:tc>
          <w:tcPr>
            <w:tcW w:w="1916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5分/项</w:t>
            </w:r>
          </w:p>
        </w:tc>
        <w:tc>
          <w:tcPr>
            <w:tcW w:w="1917" w:type="dxa"/>
            <w:vAlign w:val="center"/>
          </w:tcPr>
          <w:p w:rsidR="007B3C41" w:rsidRDefault="00000000">
            <w:pPr>
              <w:pStyle w:val="a3"/>
              <w:spacing w:line="360" w:lineRule="auto"/>
              <w:ind w:left="0"/>
              <w:jc w:val="center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3分/项</w:t>
            </w:r>
          </w:p>
        </w:tc>
      </w:tr>
    </w:tbl>
    <w:p w:rsidR="007B3C41" w:rsidRDefault="0000000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653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竞赛获奖：</w:t>
      </w:r>
      <w:r>
        <w:rPr>
          <w:rFonts w:ascii="仿宋" w:eastAsia="仿宋" w:hAnsi="仿宋" w:hint="eastAsia"/>
          <w:sz w:val="32"/>
          <w:szCs w:val="32"/>
          <w:lang w:val="en-US"/>
        </w:rPr>
        <w:t>学生参与学校组织的各类科技竞赛、文体竞赛，获得三等奖及以上的，按照以下标准加分。</w:t>
      </w:r>
    </w:p>
    <w:p w:rsidR="007B3C41" w:rsidRDefault="00000000">
      <w:pPr>
        <w:pStyle w:val="TableParagraph"/>
        <w:spacing w:before="0" w:line="360" w:lineRule="auto"/>
        <w:ind w:left="0" w:firstLineChars="200" w:firstLine="653"/>
        <w:jc w:val="both"/>
        <w:rPr>
          <w:rFonts w:ascii="仿宋" w:eastAsia="仿宋" w:hAnsi="仿宋"/>
          <w:b/>
          <w:bCs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  <w:lang w:val="en-US"/>
        </w:rPr>
        <w:t>1.科技竞赛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1316"/>
        <w:gridCol w:w="1316"/>
        <w:gridCol w:w="1317"/>
      </w:tblGrid>
      <w:tr w:rsidR="007B3C41">
        <w:trPr>
          <w:trHeight w:val="623"/>
          <w:jc w:val="center"/>
        </w:trPr>
        <w:tc>
          <w:tcPr>
            <w:tcW w:w="3012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奖项级别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一等奖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二等奖</w:t>
            </w:r>
          </w:p>
        </w:tc>
        <w:tc>
          <w:tcPr>
            <w:tcW w:w="1317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三等奖</w:t>
            </w:r>
          </w:p>
        </w:tc>
      </w:tr>
      <w:tr w:rsidR="007B3C41">
        <w:trPr>
          <w:trHeight w:val="623"/>
          <w:jc w:val="center"/>
        </w:trPr>
        <w:tc>
          <w:tcPr>
            <w:tcW w:w="3012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lastRenderedPageBreak/>
              <w:t>国家级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30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15</w:t>
            </w:r>
          </w:p>
        </w:tc>
        <w:tc>
          <w:tcPr>
            <w:tcW w:w="1317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7.5</w:t>
            </w:r>
          </w:p>
        </w:tc>
      </w:tr>
      <w:tr w:rsidR="007B3C41">
        <w:trPr>
          <w:trHeight w:val="623"/>
          <w:jc w:val="center"/>
        </w:trPr>
        <w:tc>
          <w:tcPr>
            <w:tcW w:w="3012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省级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10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</w:t>
            </w:r>
          </w:p>
        </w:tc>
        <w:tc>
          <w:tcPr>
            <w:tcW w:w="1317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2.5</w:t>
            </w:r>
          </w:p>
        </w:tc>
      </w:tr>
      <w:tr w:rsidR="007B3C41">
        <w:trPr>
          <w:trHeight w:val="623"/>
          <w:jc w:val="center"/>
        </w:trPr>
        <w:tc>
          <w:tcPr>
            <w:tcW w:w="3012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学院学术科技大赛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8</w:t>
            </w:r>
          </w:p>
        </w:tc>
        <w:tc>
          <w:tcPr>
            <w:tcW w:w="1316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4</w:t>
            </w:r>
          </w:p>
        </w:tc>
        <w:tc>
          <w:tcPr>
            <w:tcW w:w="1317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</w:t>
            </w:r>
          </w:p>
        </w:tc>
      </w:tr>
    </w:tbl>
    <w:p w:rsidR="007B3C41" w:rsidRDefault="00000000">
      <w:pPr>
        <w:pStyle w:val="a3"/>
        <w:spacing w:line="360" w:lineRule="auto"/>
        <w:ind w:left="0" w:firstLineChars="200" w:firstLine="653"/>
        <w:rPr>
          <w:rFonts w:ascii="仿宋" w:eastAsia="仿宋" w:hAnsi="仿宋"/>
          <w:b/>
          <w:bCs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  <w:lang w:val="en-US"/>
        </w:rPr>
        <w:t>2.文体竞赛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7B3C41">
        <w:trPr>
          <w:trHeight w:val="405"/>
        </w:trPr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奖项级别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一等奖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二等奖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三等奖</w:t>
            </w:r>
          </w:p>
        </w:tc>
      </w:tr>
      <w:tr w:rsidR="007B3C41">
        <w:trPr>
          <w:trHeight w:val="400"/>
        </w:trPr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全国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20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10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</w:t>
            </w:r>
          </w:p>
        </w:tc>
      </w:tr>
      <w:tr w:rsidR="007B3C41">
        <w:trPr>
          <w:trHeight w:val="400"/>
        </w:trPr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省级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5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3</w:t>
            </w:r>
          </w:p>
        </w:tc>
        <w:tc>
          <w:tcPr>
            <w:tcW w:w="1920" w:type="dxa"/>
          </w:tcPr>
          <w:p w:rsidR="007B3C41" w:rsidRDefault="00000000">
            <w:pPr>
              <w:pStyle w:val="TableParagraph"/>
              <w:spacing w:before="0" w:line="360" w:lineRule="auto"/>
              <w:ind w:left="0"/>
              <w:rPr>
                <w:rFonts w:ascii="仿宋" w:eastAsia="仿宋" w:hAnsi="仿宋"/>
                <w:sz w:val="32"/>
                <w:szCs w:val="32"/>
                <w:lang w:val="en-US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2</w:t>
            </w:r>
          </w:p>
        </w:tc>
      </w:tr>
    </w:tbl>
    <w:p w:rsidR="007B3C41" w:rsidRDefault="00000000">
      <w:pPr>
        <w:spacing w:line="360" w:lineRule="auto"/>
        <w:ind w:firstLineChars="200" w:firstLine="653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b/>
          <w:bCs/>
          <w:sz w:val="32"/>
          <w:szCs w:val="32"/>
          <w:lang w:val="en-US"/>
        </w:rPr>
        <w:t>六、加分说明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  <w:lang w:val="en-US"/>
        </w:rPr>
        <w:t>1</w:t>
      </w:r>
      <w:r>
        <w:rPr>
          <w:rFonts w:ascii="仿宋" w:eastAsia="仿宋" w:hAnsi="仿宋" w:hint="eastAsia"/>
          <w:sz w:val="32"/>
          <w:szCs w:val="32"/>
        </w:rPr>
        <w:t>）参加同一类但不同级别的竞赛获得多种奖项的，按最高奖项给予加</w:t>
      </w:r>
      <w:r>
        <w:rPr>
          <w:rFonts w:ascii="仿宋" w:eastAsia="仿宋" w:hAnsi="仿宋" w:hint="eastAsia"/>
          <w:sz w:val="32"/>
          <w:szCs w:val="32"/>
          <w:lang w:val="en-US"/>
        </w:rPr>
        <w:t>分。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（</w:t>
      </w:r>
      <w:r>
        <w:rPr>
          <w:rFonts w:ascii="仿宋" w:eastAsia="仿宋" w:hAnsi="仿宋"/>
          <w:sz w:val="32"/>
          <w:szCs w:val="32"/>
          <w:lang w:val="en-US"/>
        </w:rPr>
        <w:t>2</w:t>
      </w:r>
      <w:r>
        <w:rPr>
          <w:rFonts w:ascii="仿宋" w:eastAsia="仿宋" w:hAnsi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hint="eastAsia"/>
          <w:sz w:val="32"/>
          <w:szCs w:val="32"/>
        </w:rPr>
        <w:t>评奖不分等级时按二等奖加分；若以名次计，第</w:t>
      </w:r>
      <w:r>
        <w:rPr>
          <w:rFonts w:ascii="仿宋" w:eastAsia="仿宋" w:hAnsi="仿宋" w:hint="eastAsia"/>
          <w:sz w:val="32"/>
          <w:szCs w:val="32"/>
          <w:lang w:val="en-US"/>
        </w:rPr>
        <w:t>1</w:t>
      </w:r>
      <w:r>
        <w:rPr>
          <w:rFonts w:ascii="仿宋" w:eastAsia="仿宋" w:hAnsi="仿宋" w:hint="eastAsia"/>
          <w:sz w:val="32"/>
          <w:szCs w:val="32"/>
        </w:rPr>
        <w:t>名按一等奖加分，第2、3名按二等奖加分，第4名以后按三等奖加分。若以金、银、铜奖计，分别按一、二、三等奖加分。若有特等奖，在一等奖分值基础上</w:t>
      </w:r>
      <w:r>
        <w:rPr>
          <w:rFonts w:ascii="仿宋" w:eastAsia="仿宋" w:hAnsi="仿宋" w:hint="eastAsia"/>
          <w:sz w:val="32"/>
          <w:szCs w:val="32"/>
          <w:lang w:val="en-US"/>
        </w:rPr>
        <w:t>乘以2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  <w:lang w:val="en-US"/>
        </w:rPr>
        <w:t>4）团体项目获奖，则排序第一的学生按照上述奖项加分，排序第2-5名学生，按照获奖等次分数乘以0.8系数计算得分。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（5）学科</w:t>
      </w:r>
      <w:r>
        <w:rPr>
          <w:rFonts w:ascii="仿宋" w:eastAsia="仿宋" w:hAnsi="仿宋" w:hint="eastAsia"/>
          <w:sz w:val="32"/>
          <w:szCs w:val="32"/>
        </w:rPr>
        <w:t>竞赛级别以校教务处《关于公布大学生学科竞赛项目级别认定结果的通知》（校教[2</w:t>
      </w:r>
      <w:r>
        <w:rPr>
          <w:rFonts w:ascii="仿宋" w:eastAsia="仿宋" w:hAnsi="仿宋"/>
          <w:sz w:val="32"/>
          <w:szCs w:val="32"/>
        </w:rPr>
        <w:t>02</w:t>
      </w:r>
      <w:r w:rsidR="00D56F8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]</w:t>
      </w:r>
      <w:r w:rsidR="00D56F8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号）为准。</w:t>
      </w:r>
      <w:r>
        <w:rPr>
          <w:rFonts w:ascii="仿宋" w:eastAsia="仿宋" w:hAnsi="仿宋" w:hint="eastAsia"/>
          <w:sz w:val="32"/>
          <w:szCs w:val="32"/>
          <w:lang w:val="en-US"/>
        </w:rPr>
        <w:t>期刊等级按照《福州大学核心学术期刊目录及相关规定2021年版（实行）》为准。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  <w:lang w:val="en-US"/>
        </w:rPr>
        <w:t>6）国家级</w:t>
      </w:r>
      <w:r>
        <w:rPr>
          <w:rFonts w:ascii="仿宋" w:eastAsia="仿宋" w:hAnsi="仿宋"/>
          <w:sz w:val="32"/>
          <w:szCs w:val="32"/>
          <w:lang w:val="en-US"/>
        </w:rPr>
        <w:t>SRTP</w:t>
      </w:r>
      <w:r>
        <w:rPr>
          <w:rFonts w:ascii="仿宋" w:eastAsia="仿宋" w:hAnsi="仿宋" w:hint="eastAsia"/>
          <w:sz w:val="32"/>
          <w:szCs w:val="32"/>
          <w:lang w:val="en-US"/>
        </w:rPr>
        <w:t>项目结题为优秀按科技竞赛省级一等</w:t>
      </w:r>
      <w:r>
        <w:rPr>
          <w:rFonts w:ascii="仿宋" w:eastAsia="仿宋" w:hAnsi="仿宋" w:hint="eastAsia"/>
          <w:sz w:val="32"/>
          <w:szCs w:val="32"/>
          <w:lang w:val="en-US"/>
        </w:rPr>
        <w:lastRenderedPageBreak/>
        <w:t>奖，结题合格按省级二等奖加分；省级</w:t>
      </w:r>
      <w:r>
        <w:rPr>
          <w:rFonts w:ascii="仿宋" w:eastAsia="仿宋" w:hAnsi="仿宋"/>
          <w:sz w:val="32"/>
          <w:szCs w:val="32"/>
          <w:lang w:val="en-US"/>
        </w:rPr>
        <w:t>SRTP</w:t>
      </w:r>
      <w:r>
        <w:rPr>
          <w:rFonts w:ascii="仿宋" w:eastAsia="仿宋" w:hAnsi="仿宋" w:hint="eastAsia"/>
          <w:sz w:val="32"/>
          <w:szCs w:val="32"/>
          <w:lang w:val="en-US"/>
        </w:rPr>
        <w:t>项目结题为优秀按照院级一等奖，结题合格按照院级二等奖加分；校级</w:t>
      </w:r>
      <w:r>
        <w:rPr>
          <w:rFonts w:ascii="仿宋" w:eastAsia="仿宋" w:hAnsi="仿宋"/>
          <w:sz w:val="32"/>
          <w:szCs w:val="32"/>
          <w:lang w:val="en-US"/>
        </w:rPr>
        <w:t>SRTP</w:t>
      </w:r>
      <w:r>
        <w:rPr>
          <w:rFonts w:ascii="仿宋" w:eastAsia="仿宋" w:hAnsi="仿宋" w:hint="eastAsia"/>
          <w:sz w:val="32"/>
          <w:szCs w:val="32"/>
          <w:lang w:val="en-US"/>
        </w:rPr>
        <w:t>结题为优秀按照院级二等奖，结题为合格按照院级三等奖加分。</w:t>
      </w:r>
    </w:p>
    <w:p w:rsidR="007B3C41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（7）不同的科研成果、竞赛获奖可多项加分。上述项目均需提供官方的证明材料，由学院推免生遴选工作专家审核小组进行审核认定。</w:t>
      </w:r>
    </w:p>
    <w:p w:rsidR="007B3C41" w:rsidRDefault="007B3C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en-US"/>
        </w:rPr>
      </w:pPr>
    </w:p>
    <w:p w:rsidR="007B3C41" w:rsidRPr="00FF6AC0" w:rsidRDefault="00000000" w:rsidP="00FF6AC0">
      <w:pPr>
        <w:spacing w:line="360" w:lineRule="auto"/>
        <w:ind w:firstLineChars="200" w:firstLine="640"/>
        <w:jc w:val="right"/>
        <w:rPr>
          <w:rFonts w:ascii="仿宋" w:eastAsia="仿宋" w:hAnsi="仿宋" w:hint="eastAsia"/>
          <w:sz w:val="32"/>
          <w:szCs w:val="32"/>
          <w:lang w:val="en-US"/>
        </w:rPr>
      </w:pPr>
      <w:r>
        <w:rPr>
          <w:rFonts w:ascii="仿宋" w:eastAsia="仿宋" w:hAnsi="仿宋" w:hint="eastAsia"/>
          <w:sz w:val="32"/>
          <w:szCs w:val="32"/>
          <w:lang w:val="en-US"/>
        </w:rPr>
        <w:t>化工学院</w:t>
      </w:r>
    </w:p>
    <w:sectPr w:rsidR="007B3C41" w:rsidRPr="00FF6AC0">
      <w:type w:val="continuous"/>
      <w:pgSz w:w="11910" w:h="16840"/>
      <w:pgMar w:top="1440" w:right="1800" w:bottom="1440" w:left="1800" w:header="720" w:footer="720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939191-F824-8B4D-965A-DB47EC8BF1ED}"/>
    <w:embedBold r:id="rId3" w:subsetted="1" w:fontKey="{6D01DAD8-F683-4E45-A361-E953868005A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3A14"/>
    <w:multiLevelType w:val="singleLevel"/>
    <w:tmpl w:val="71A22F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709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C41"/>
    <w:rsid w:val="00095B00"/>
    <w:rsid w:val="000E2F34"/>
    <w:rsid w:val="0027113C"/>
    <w:rsid w:val="0056748C"/>
    <w:rsid w:val="007B3C41"/>
    <w:rsid w:val="00D56F82"/>
    <w:rsid w:val="00DC5F94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F9D090"/>
  <w15:docId w15:val="{653844E2-2E42-1249-AD8E-26C082A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21"/>
      <w:szCs w:val="2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pPr>
      <w:spacing w:before="109"/>
      <w:ind w:left="14"/>
      <w:jc w:val="center"/>
    </w:pPr>
  </w:style>
  <w:style w:type="paragraph" w:styleId="a7">
    <w:name w:val="List Paragraph"/>
    <w:basedOn w:val="a"/>
    <w:uiPriority w:val="1"/>
    <w:qFormat/>
    <w:pPr>
      <w:ind w:left="820" w:hanging="2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liling</cp:lastModifiedBy>
  <cp:revision>8</cp:revision>
  <dcterms:created xsi:type="dcterms:W3CDTF">2021-09-11T03:11:00Z</dcterms:created>
  <dcterms:modified xsi:type="dcterms:W3CDTF">2024-09-09T12:36:00Z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05F8FFC7D58E4B02BEB3700005D203FB</vt:lpwstr>
  </property>
</Properties>
</file>