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napToGrid w:val="0"/>
        <w:spacing w:line="360" w:lineRule="auto"/>
        <w:ind w:left="45" w:right="45"/>
        <w:jc w:val="center"/>
        <w:rPr>
          <w:rFonts w:ascii="Arial" w:hAnsi="Arial" w:cs="Arial"/>
          <w:b/>
          <w:bCs/>
          <w:kern w:val="0"/>
          <w:sz w:val="28"/>
          <w:szCs w:val="28"/>
        </w:rPr>
      </w:pPr>
      <w:r>
        <w:rPr>
          <w:rFonts w:hint="eastAsia" w:ascii="Arial" w:hAnsi="Arial" w:cs="Arial"/>
          <w:b/>
          <w:bCs/>
          <w:kern w:val="0"/>
          <w:sz w:val="28"/>
          <w:szCs w:val="28"/>
        </w:rPr>
        <w:t>四川大学外国语学院推荐优秀应届本科毕业生免试攻读研究生的</w:t>
      </w:r>
    </w:p>
    <w:p>
      <w:pPr>
        <w:widowControl/>
        <w:shd w:val="clear" w:color="auto" w:fill="FFFFFF"/>
        <w:snapToGrid w:val="0"/>
        <w:spacing w:line="360" w:lineRule="auto"/>
        <w:ind w:left="45" w:right="45"/>
        <w:jc w:val="center"/>
        <w:rPr>
          <w:rFonts w:ascii="Arial" w:hAnsi="Arial" w:cs="Arial"/>
          <w:b/>
          <w:bCs/>
          <w:kern w:val="0"/>
          <w:sz w:val="28"/>
          <w:szCs w:val="28"/>
        </w:rPr>
      </w:pPr>
      <w:r>
        <w:rPr>
          <w:rFonts w:hint="eastAsia" w:ascii="Arial" w:hAnsi="Arial" w:cs="Arial"/>
          <w:b/>
          <w:bCs/>
          <w:kern w:val="0"/>
          <w:sz w:val="28"/>
          <w:szCs w:val="28"/>
        </w:rPr>
        <w:t>实施办法</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为做好推荐优秀应届本科毕业生免试攻读研究生工作，外国语学院根据教育部和四川大学相关规定，并结合本院实际情况，特制定本院推荐优秀应届本科毕业生免试攻读研究生（以下简称“推免生”）实施办法。</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hint="eastAsia" w:ascii="宋体" w:hAnsi="宋体" w:cs="宋体"/>
          <w:b/>
          <w:bCs/>
          <w:kern w:val="0"/>
          <w:sz w:val="24"/>
          <w:szCs w:val="24"/>
        </w:rPr>
        <w:t>一、推免原则</w:t>
      </w:r>
    </w:p>
    <w:p>
      <w:pPr>
        <w:pStyle w:val="22"/>
        <w:spacing w:beforeLines="0" w:line="360" w:lineRule="auto"/>
        <w:ind w:firstLine="31680"/>
        <w:rPr>
          <w:rFonts w:ascii="宋体" w:hAnsi="宋体" w:eastAsia="宋体" w:cs="宋体"/>
          <w:b/>
          <w:bCs/>
          <w:kern w:val="0"/>
          <w:sz w:val="24"/>
          <w:szCs w:val="24"/>
          <w:shd w:val="clear" w:color="auto" w:fill="auto"/>
        </w:rPr>
      </w:pPr>
      <w:r>
        <w:rPr>
          <w:rFonts w:ascii="宋体" w:hAnsi="宋体" w:eastAsia="宋体" w:cs="宋体"/>
          <w:b/>
          <w:bCs/>
          <w:kern w:val="0"/>
          <w:sz w:val="24"/>
          <w:szCs w:val="24"/>
          <w:shd w:val="clear" w:color="auto" w:fill="auto"/>
        </w:rPr>
        <w:t>1</w:t>
      </w:r>
      <w:r>
        <w:rPr>
          <w:rFonts w:hint="eastAsia" w:ascii="宋体" w:hAnsi="宋体" w:eastAsia="宋体" w:cs="宋体"/>
          <w:b/>
          <w:bCs/>
          <w:kern w:val="0"/>
          <w:sz w:val="24"/>
          <w:szCs w:val="24"/>
          <w:shd w:val="clear" w:color="auto" w:fill="auto"/>
        </w:rPr>
        <w:t>、推免工作本着公平、公正、公开的工作原则，程序透明，操作规范，结果公开。</w:t>
      </w:r>
    </w:p>
    <w:p>
      <w:pPr>
        <w:pStyle w:val="22"/>
        <w:spacing w:beforeLines="0" w:line="360" w:lineRule="auto"/>
        <w:ind w:firstLine="31680"/>
        <w:rPr>
          <w:rFonts w:ascii="宋体" w:hAnsi="宋体" w:eastAsia="宋体" w:cs="宋体"/>
          <w:b/>
          <w:bCs/>
          <w:kern w:val="0"/>
          <w:sz w:val="24"/>
          <w:szCs w:val="24"/>
          <w:shd w:val="clear" w:color="auto" w:fill="auto"/>
        </w:rPr>
      </w:pPr>
      <w:r>
        <w:rPr>
          <w:rFonts w:ascii="宋体" w:hAnsi="宋体" w:eastAsia="宋体" w:cs="宋体"/>
          <w:b/>
          <w:bCs/>
          <w:kern w:val="0"/>
          <w:sz w:val="24"/>
          <w:szCs w:val="24"/>
          <w:shd w:val="clear" w:color="auto" w:fill="auto"/>
        </w:rPr>
        <w:t>2</w:t>
      </w:r>
      <w:r>
        <w:rPr>
          <w:rFonts w:hint="eastAsia" w:ascii="宋体" w:hAnsi="宋体" w:eastAsia="宋体" w:cs="宋体"/>
          <w:b/>
          <w:bCs/>
          <w:kern w:val="0"/>
          <w:sz w:val="24"/>
          <w:szCs w:val="24"/>
          <w:shd w:val="clear" w:color="auto" w:fill="auto"/>
        </w:rPr>
        <w:t>、坚持择优推荐原则，建立推免生遴选过程的科学评价体系，形成激励本科生勤奋学习、全面发展的正确导向。</w:t>
      </w:r>
    </w:p>
    <w:p>
      <w:pPr>
        <w:pStyle w:val="22"/>
        <w:spacing w:beforeLines="0" w:line="360" w:lineRule="auto"/>
        <w:ind w:firstLine="31680"/>
        <w:rPr>
          <w:rFonts w:ascii="宋体" w:hAnsi="宋体" w:eastAsia="宋体" w:cs="宋体"/>
          <w:b/>
          <w:bCs/>
          <w:kern w:val="0"/>
          <w:sz w:val="24"/>
          <w:szCs w:val="24"/>
          <w:shd w:val="clear" w:color="auto" w:fill="auto"/>
        </w:rPr>
      </w:pPr>
      <w:r>
        <w:rPr>
          <w:rFonts w:ascii="宋体" w:hAnsi="宋体" w:eastAsia="宋体" w:cs="宋体"/>
          <w:b/>
          <w:bCs/>
          <w:kern w:val="0"/>
          <w:sz w:val="24"/>
          <w:szCs w:val="24"/>
          <w:shd w:val="clear" w:color="auto" w:fill="auto"/>
        </w:rPr>
        <w:t>3</w:t>
      </w:r>
      <w:r>
        <w:rPr>
          <w:rFonts w:hint="eastAsia" w:ascii="宋体" w:hAnsi="宋体" w:eastAsia="宋体" w:cs="宋体"/>
          <w:b/>
          <w:bCs/>
          <w:kern w:val="0"/>
          <w:sz w:val="24"/>
          <w:szCs w:val="24"/>
          <w:shd w:val="clear" w:color="auto" w:fill="auto"/>
        </w:rPr>
        <w:t>、坚持对学生进行德智体美劳全面考察。</w:t>
      </w:r>
      <w:r>
        <w:rPr>
          <w:rFonts w:hint="eastAsia" w:ascii="宋体" w:hAnsi="宋体" w:eastAsia="宋体" w:cs="宋体"/>
          <w:b/>
          <w:bCs/>
          <w:kern w:val="0"/>
          <w:sz w:val="24"/>
          <w:szCs w:val="24"/>
          <w:highlight w:val="yellow"/>
          <w:shd w:val="clear" w:color="auto" w:fill="auto"/>
        </w:rPr>
        <w:t>以德为先，把学生思想品德考核作为推免生遴选的首要依据，思想品德考核不合格不予推荐。</w:t>
      </w:r>
      <w:r>
        <w:rPr>
          <w:rFonts w:hint="eastAsia" w:ascii="宋体" w:hAnsi="宋体" w:eastAsia="宋体" w:cs="宋体"/>
          <w:b/>
          <w:bCs/>
          <w:kern w:val="0"/>
          <w:sz w:val="24"/>
          <w:szCs w:val="24"/>
          <w:shd w:val="clear" w:color="auto" w:fill="auto"/>
        </w:rPr>
        <w:t>学业考核以学习成绩和一贯表现为基础，突出创新创业能力考察，强化对考生科研创新潜质和专业能力倾向的鉴定。</w:t>
      </w:r>
    </w:p>
    <w:p>
      <w:pPr>
        <w:pStyle w:val="22"/>
        <w:spacing w:beforeLines="0" w:line="360" w:lineRule="auto"/>
        <w:ind w:firstLine="31680"/>
        <w:rPr>
          <w:rFonts w:ascii="宋体" w:hAnsi="宋体" w:eastAsia="宋体" w:cs="宋体"/>
          <w:b/>
          <w:bCs/>
          <w:kern w:val="0"/>
          <w:sz w:val="24"/>
          <w:szCs w:val="24"/>
          <w:shd w:val="clear" w:color="auto" w:fill="auto"/>
        </w:rPr>
      </w:pPr>
      <w:r>
        <w:rPr>
          <w:rFonts w:hint="eastAsia" w:ascii="宋体" w:hAnsi="宋体" w:eastAsia="宋体" w:cs="宋体"/>
          <w:b/>
          <w:bCs/>
          <w:kern w:val="0"/>
          <w:sz w:val="24"/>
          <w:szCs w:val="24"/>
          <w:shd w:val="clear" w:color="auto" w:fill="auto"/>
        </w:rPr>
        <w:t>推免生遴选过程严格执行回避政策，推免相关工作人员有直系亲属或利益相关人员（如收费辅导教学等）报名参加本单位推免招生的应主动申请回避，有非直系亲属等报名参加推免招生的要主动报备，相关学生申请推免资格时也应主动向学校报备声明。</w:t>
      </w:r>
    </w:p>
    <w:p>
      <w:pPr>
        <w:pStyle w:val="22"/>
        <w:spacing w:beforeLines="0" w:line="360" w:lineRule="auto"/>
        <w:ind w:firstLine="31680"/>
        <w:rPr>
          <w:rFonts w:ascii="宋体" w:hAnsi="宋体" w:eastAsia="宋体" w:cs="宋体"/>
          <w:b/>
          <w:bCs/>
          <w:kern w:val="0"/>
          <w:sz w:val="24"/>
          <w:szCs w:val="24"/>
          <w:shd w:val="clear" w:color="auto" w:fill="auto"/>
        </w:rPr>
      </w:pPr>
      <w:r>
        <w:rPr>
          <w:rFonts w:ascii="宋体" w:hAnsi="宋体" w:eastAsia="宋体" w:cs="宋体"/>
          <w:b/>
          <w:bCs/>
          <w:kern w:val="0"/>
          <w:sz w:val="24"/>
          <w:szCs w:val="24"/>
          <w:shd w:val="clear" w:color="auto" w:fill="auto"/>
        </w:rPr>
        <w:t>4</w:t>
      </w:r>
      <w:r>
        <w:rPr>
          <w:rFonts w:hint="eastAsia" w:ascii="宋体" w:hAnsi="宋体" w:eastAsia="宋体" w:cs="宋体"/>
          <w:b/>
          <w:bCs/>
          <w:kern w:val="0"/>
          <w:sz w:val="24"/>
          <w:szCs w:val="24"/>
          <w:shd w:val="clear" w:color="auto" w:fill="auto"/>
        </w:rPr>
        <w:t>、所有推免生均应符合我校推荐条件并获得我校推免生名额。尊重、维护推免生自主选择招生单位、招生专业和招生类型的权利。积极鼓励各招生单位充分凭借学术、学科及师资等人才培养优势和对学生的关爱吸引学生。</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二、推免条件</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学院从具备下列条件的学生中择优遴选推免生：</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1</w:t>
      </w:r>
      <w:r>
        <w:rPr>
          <w:rFonts w:hint="eastAsia" w:ascii="宋体" w:hAnsi="宋体" w:cs="宋体"/>
          <w:b/>
          <w:bCs/>
          <w:kern w:val="0"/>
          <w:sz w:val="24"/>
          <w:szCs w:val="24"/>
        </w:rPr>
        <w:t>、我校普通全日制本科应届毕业生。</w:t>
      </w:r>
    </w:p>
    <w:p>
      <w:pPr>
        <w:widowControl/>
        <w:shd w:val="clear" w:color="auto" w:fill="FFFFFF"/>
        <w:snapToGrid w:val="0"/>
        <w:spacing w:line="360" w:lineRule="auto"/>
        <w:ind w:left="44" w:leftChars="21" w:right="45" w:firstLine="472" w:firstLineChars="196"/>
        <w:jc w:val="left"/>
        <w:rPr>
          <w:rFonts w:ascii="宋体" w:cs="宋体"/>
          <w:b/>
          <w:dstrike/>
          <w:kern w:val="0"/>
          <w:sz w:val="24"/>
          <w:szCs w:val="24"/>
        </w:rPr>
      </w:pPr>
      <w:r>
        <w:rPr>
          <w:rFonts w:ascii="宋体" w:hAnsi="宋体" w:cs="宋体"/>
          <w:b/>
          <w:bCs/>
          <w:kern w:val="0"/>
          <w:sz w:val="24"/>
          <w:szCs w:val="24"/>
        </w:rPr>
        <w:t>2</w:t>
      </w:r>
      <w:r>
        <w:rPr>
          <w:rFonts w:hint="eastAsia" w:ascii="宋体" w:hAnsi="宋体" w:cs="宋体"/>
          <w:b/>
          <w:bCs/>
          <w:kern w:val="0"/>
          <w:sz w:val="24"/>
          <w:szCs w:val="24"/>
        </w:rPr>
        <w:t>、努力践行社会主义核心价值观，未受任何违纪处分或违纪处分已解除；积极向上，身心健康。</w:t>
      </w:r>
    </w:p>
    <w:p>
      <w:pPr>
        <w:widowControl/>
        <w:shd w:val="clear" w:color="auto" w:fill="FFFFFF"/>
        <w:snapToGrid w:val="0"/>
        <w:spacing w:line="360" w:lineRule="auto"/>
        <w:ind w:left="44" w:leftChars="21" w:right="45" w:firstLine="482" w:firstLineChars="200"/>
        <w:jc w:val="left"/>
        <w:rPr>
          <w:rFonts w:ascii="宋体" w:cs="宋体"/>
          <w:b/>
          <w:bCs/>
          <w:kern w:val="0"/>
          <w:sz w:val="24"/>
          <w:szCs w:val="24"/>
        </w:rPr>
      </w:pPr>
      <w:r>
        <w:rPr>
          <w:rFonts w:ascii="宋体" w:hAnsi="宋体" w:cs="宋体"/>
          <w:b/>
          <w:bCs/>
          <w:kern w:val="0"/>
          <w:sz w:val="24"/>
          <w:szCs w:val="24"/>
        </w:rPr>
        <w:t>3</w:t>
      </w:r>
      <w:r>
        <w:rPr>
          <w:rFonts w:hint="eastAsia" w:ascii="宋体" w:hAnsi="宋体" w:cs="宋体"/>
          <w:b/>
          <w:bCs/>
          <w:kern w:val="0"/>
          <w:sz w:val="24"/>
          <w:szCs w:val="24"/>
        </w:rPr>
        <w:t>．基础知识扎实，勤奋学习，刻苦钻研</w:t>
      </w:r>
      <w:r>
        <w:rPr>
          <w:rFonts w:ascii="宋体" w:cs="宋体"/>
          <w:b/>
          <w:bCs/>
          <w:kern w:val="0"/>
          <w:sz w:val="24"/>
          <w:szCs w:val="24"/>
        </w:rPr>
        <w:t>,</w:t>
      </w:r>
      <w:r>
        <w:rPr>
          <w:rFonts w:hint="eastAsia" w:ascii="宋体" w:hAnsi="宋体" w:cs="宋体"/>
          <w:b/>
          <w:bCs/>
          <w:kern w:val="0"/>
          <w:sz w:val="24"/>
          <w:szCs w:val="24"/>
        </w:rPr>
        <w:t>参与常规推荐的学生，课程成绩的排名原则上须列本专业前</w:t>
      </w:r>
      <w:r>
        <w:rPr>
          <w:rFonts w:ascii="宋体" w:hAnsi="宋体" w:cs="宋体"/>
          <w:b/>
          <w:bCs/>
          <w:kern w:val="0"/>
          <w:sz w:val="24"/>
          <w:szCs w:val="24"/>
        </w:rPr>
        <w:t>50%</w:t>
      </w:r>
      <w:r>
        <w:rPr>
          <w:rFonts w:hint="eastAsia" w:ascii="宋体" w:hAnsi="宋体" w:cs="宋体"/>
          <w:b/>
          <w:bCs/>
          <w:kern w:val="0"/>
          <w:sz w:val="24"/>
          <w:szCs w:val="24"/>
        </w:rPr>
        <w:t>。课程成绩是指学生前三学年培养方案要求的全部必修课程成绩。</w:t>
      </w:r>
      <w:r>
        <w:rPr>
          <w:rFonts w:hint="eastAsia" w:ascii="宋体" w:hAnsi="宋体" w:cs="宋体"/>
          <w:b/>
          <w:bCs/>
          <w:kern w:val="0"/>
          <w:sz w:val="24"/>
          <w:szCs w:val="24"/>
          <w:highlight w:val="yellow"/>
        </w:rPr>
        <w:t>课程成绩采用第一次修读的成绩，</w:t>
      </w:r>
      <w:r>
        <w:rPr>
          <w:rFonts w:hint="eastAsia" w:ascii="宋体" w:hAnsi="宋体" w:cs="宋体"/>
          <w:b/>
          <w:bCs/>
          <w:kern w:val="0"/>
          <w:sz w:val="24"/>
          <w:szCs w:val="24"/>
        </w:rPr>
        <w:t>课程成绩的计算采用学校教务处系统中必修课程特殊加权学分成绩。（详见《外国语学院关于专业排名等问题的通知》）</w:t>
      </w:r>
    </w:p>
    <w:p>
      <w:pPr>
        <w:widowControl/>
        <w:shd w:val="clear" w:color="auto" w:fill="FFFFFF"/>
        <w:snapToGrid w:val="0"/>
        <w:spacing w:line="360" w:lineRule="auto"/>
        <w:ind w:left="44" w:leftChars="21" w:right="45" w:firstLine="482" w:firstLineChars="200"/>
        <w:jc w:val="left"/>
        <w:rPr>
          <w:rFonts w:ascii="宋体" w:cs="宋体"/>
          <w:b/>
          <w:bCs/>
          <w:kern w:val="0"/>
          <w:sz w:val="24"/>
          <w:szCs w:val="24"/>
        </w:rPr>
      </w:pPr>
      <w:r>
        <w:rPr>
          <w:rFonts w:ascii="宋体" w:hAnsi="宋体" w:cs="宋体"/>
          <w:b/>
          <w:bCs/>
          <w:kern w:val="0"/>
          <w:sz w:val="24"/>
          <w:szCs w:val="24"/>
        </w:rPr>
        <w:t>4</w:t>
      </w:r>
      <w:r>
        <w:rPr>
          <w:rFonts w:hint="eastAsia" w:ascii="宋体" w:hAnsi="宋体" w:cs="宋体"/>
          <w:b/>
          <w:bCs/>
          <w:kern w:val="0"/>
          <w:sz w:val="24"/>
          <w:szCs w:val="24"/>
        </w:rPr>
        <w:t>．学术研究兴趣浓厚，具有较强的独立调查研究、综合分析问题、解决问题能力，以及有较强的创新意识、创新能力和专业能力。</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5</w:t>
      </w:r>
      <w:r>
        <w:rPr>
          <w:rFonts w:hint="eastAsia" w:ascii="宋体" w:hAnsi="宋体" w:cs="宋体"/>
          <w:b/>
          <w:bCs/>
          <w:kern w:val="0"/>
          <w:sz w:val="24"/>
          <w:szCs w:val="24"/>
        </w:rPr>
        <w:t>．以项目主持人或成员身份组织或参与了四川大学或外国语学院“大学生创新创业训练计划”项目的申报，并成功立项（</w:t>
      </w:r>
      <w:r>
        <w:rPr>
          <w:rFonts w:ascii="宋体" w:hAnsi="宋体" w:cs="宋体"/>
          <w:b/>
          <w:bCs/>
          <w:kern w:val="0"/>
          <w:sz w:val="24"/>
          <w:szCs w:val="24"/>
        </w:rPr>
        <w:t>2020</w:t>
      </w:r>
      <w:r>
        <w:rPr>
          <w:rFonts w:hint="eastAsia" w:ascii="宋体" w:hAnsi="宋体" w:cs="宋体"/>
          <w:b/>
          <w:bCs/>
          <w:kern w:val="0"/>
          <w:sz w:val="24"/>
          <w:szCs w:val="24"/>
        </w:rPr>
        <w:t>级开始执行，</w:t>
      </w:r>
      <w:r>
        <w:rPr>
          <w:rFonts w:ascii="宋体" w:hAnsi="宋体" w:cs="宋体"/>
          <w:b/>
          <w:bCs/>
          <w:kern w:val="0"/>
          <w:sz w:val="24"/>
          <w:szCs w:val="24"/>
        </w:rPr>
        <w:t>2019</w:t>
      </w:r>
      <w:r>
        <w:rPr>
          <w:rFonts w:hint="eastAsia" w:ascii="宋体" w:hAnsi="宋体" w:cs="宋体"/>
          <w:b/>
          <w:bCs/>
          <w:kern w:val="0"/>
          <w:sz w:val="24"/>
          <w:szCs w:val="24"/>
        </w:rPr>
        <w:t>级之前按原实施办法执行）。</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6</w:t>
      </w:r>
      <w:r>
        <w:rPr>
          <w:rFonts w:hint="eastAsia" w:ascii="宋体" w:hAnsi="宋体" w:cs="宋体"/>
          <w:b/>
          <w:bCs/>
          <w:kern w:val="0"/>
          <w:sz w:val="24"/>
          <w:szCs w:val="24"/>
        </w:rPr>
        <w:t>．</w:t>
      </w:r>
      <w:r>
        <w:rPr>
          <w:rFonts w:ascii="宋体" w:hAnsi="宋体" w:cs="宋体"/>
          <w:b/>
          <w:bCs/>
          <w:kern w:val="0"/>
          <w:sz w:val="24"/>
          <w:szCs w:val="24"/>
        </w:rPr>
        <w:t xml:space="preserve"> </w:t>
      </w:r>
      <w:r>
        <w:rPr>
          <w:rFonts w:hint="eastAsia" w:ascii="宋体" w:hAnsi="宋体" w:cs="宋体"/>
          <w:b/>
          <w:bCs/>
          <w:kern w:val="0"/>
          <w:sz w:val="24"/>
          <w:szCs w:val="24"/>
        </w:rPr>
        <w:t>参加国际项目长期交流的同学，请及时催促国外学校将国外成绩单寄到四川大学国际处，请务必保证成绩单在保研学期（秋季）第一周周三前到达学校国际处，以确保学院在保研学期（秋季）第一周内完成国外成绩单的审核工作</w:t>
      </w:r>
      <w:r>
        <w:rPr>
          <w:rFonts w:ascii="宋体" w:cs="宋体"/>
          <w:b/>
          <w:bCs/>
          <w:kern w:val="0"/>
          <w:sz w:val="24"/>
          <w:szCs w:val="24"/>
        </w:rPr>
        <w:t>,</w:t>
      </w:r>
      <w:r>
        <w:rPr>
          <w:rFonts w:hint="eastAsia" w:ascii="宋体" w:hAnsi="宋体" w:cs="宋体"/>
          <w:b/>
          <w:bCs/>
          <w:kern w:val="0"/>
          <w:sz w:val="24"/>
          <w:szCs w:val="24"/>
        </w:rPr>
        <w:t>否则责任自负。</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三、优先推免条件</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凡达到推免条件，并具备下列条件之一者可考虑优先推免：</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1</w:t>
      </w:r>
      <w:r>
        <w:rPr>
          <w:rFonts w:hint="eastAsia" w:ascii="宋体" w:hAnsi="宋体" w:cs="宋体"/>
          <w:b/>
          <w:bCs/>
          <w:kern w:val="0"/>
          <w:sz w:val="24"/>
          <w:szCs w:val="24"/>
        </w:rPr>
        <w:t>、思想品德表现极其突出，获得学校专门荣誉称号，或所做贡献被省级及其以上媒体专题报道，影响范围较大，反映良好。</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2</w:t>
      </w:r>
      <w:r>
        <w:rPr>
          <w:rFonts w:hint="eastAsia" w:ascii="宋体" w:hAnsi="宋体" w:cs="宋体"/>
          <w:b/>
          <w:bCs/>
          <w:kern w:val="0"/>
          <w:sz w:val="24"/>
          <w:szCs w:val="24"/>
        </w:rPr>
        <w:t>、外语水平和运用能力强。全国外语专业四级考试成绩达优。</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3</w:t>
      </w:r>
      <w:r>
        <w:rPr>
          <w:rFonts w:hint="eastAsia" w:ascii="宋体" w:hAnsi="宋体" w:cs="宋体"/>
          <w:b/>
          <w:bCs/>
          <w:kern w:val="0"/>
          <w:sz w:val="24"/>
          <w:szCs w:val="24"/>
        </w:rPr>
        <w:t>、在省级及其以上的大学生各类竞赛和评优活动中获奖，以及在校期间曾三次以上获得二等及以上奖学金。</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4</w:t>
      </w:r>
      <w:r>
        <w:rPr>
          <w:rFonts w:hint="eastAsia" w:ascii="宋体" w:hAnsi="宋体" w:cs="宋体"/>
          <w:b/>
          <w:bCs/>
          <w:kern w:val="0"/>
          <w:sz w:val="24"/>
          <w:szCs w:val="24"/>
        </w:rPr>
        <w:t>、参加有关社会活动获省级及以上行政主管部门颁发的奖励者，如优秀学生干部、优秀团员、优秀团干部等。</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5</w:t>
      </w:r>
      <w:r>
        <w:rPr>
          <w:rFonts w:hint="eastAsia" w:ascii="宋体" w:hAnsi="宋体" w:cs="宋体"/>
          <w:b/>
          <w:bCs/>
          <w:kern w:val="0"/>
          <w:sz w:val="24"/>
          <w:szCs w:val="24"/>
        </w:rPr>
        <w:t>、在国内外公开刊物上发表高水平学术论文，独立工作能力和科研能力突出，已取得较高水平研究成果。</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6</w:t>
      </w:r>
      <w:r>
        <w:rPr>
          <w:rFonts w:hint="eastAsia" w:ascii="宋体" w:hAnsi="宋体" w:cs="宋体"/>
          <w:b/>
          <w:bCs/>
          <w:kern w:val="0"/>
          <w:sz w:val="24"/>
          <w:szCs w:val="24"/>
        </w:rPr>
        <w:t>、参加省级或全国性运动会前两名获奖者（集体项目应为主力队员）。</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7</w:t>
      </w:r>
      <w:r>
        <w:rPr>
          <w:rFonts w:hint="eastAsia" w:ascii="宋体" w:hAnsi="宋体" w:cs="宋体"/>
          <w:b/>
          <w:bCs/>
          <w:kern w:val="0"/>
          <w:sz w:val="24"/>
          <w:szCs w:val="24"/>
        </w:rPr>
        <w:t>、参加省级或全国性文艺比赛前两名获奖者（集体项目应为主要人员）。</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四、组织与领导</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1</w:t>
      </w:r>
      <w:r>
        <w:rPr>
          <w:rFonts w:hint="eastAsia" w:ascii="宋体" w:hAnsi="宋体" w:cs="宋体"/>
          <w:b/>
          <w:bCs/>
          <w:kern w:val="0"/>
          <w:sz w:val="24"/>
          <w:szCs w:val="24"/>
        </w:rPr>
        <w:t>、根据学校相关规定成立推免生遴选工作小组，负责本院推免工作实施细则的制定和组织实施，并接受学生咨询、申诉及处理等工作（申诉电话：</w:t>
      </w:r>
      <w:r>
        <w:rPr>
          <w:rFonts w:ascii="宋体" w:hAnsi="宋体" w:cs="宋体"/>
          <w:b/>
          <w:bCs/>
          <w:kern w:val="0"/>
          <w:sz w:val="24"/>
          <w:szCs w:val="24"/>
        </w:rPr>
        <w:t>85412273</w:t>
      </w:r>
      <w:r>
        <w:rPr>
          <w:rFonts w:hint="eastAsia" w:ascii="宋体" w:hAnsi="宋体" w:cs="宋体"/>
          <w:b/>
          <w:bCs/>
          <w:kern w:val="0"/>
          <w:sz w:val="24"/>
          <w:szCs w:val="24"/>
        </w:rPr>
        <w:t>，申诉邮箱：</w:t>
      </w:r>
      <w:r>
        <w:rPr>
          <w:rFonts w:ascii="宋体" w:hAnsi="宋体" w:cs="宋体"/>
          <w:b/>
          <w:bCs/>
          <w:kern w:val="0"/>
          <w:sz w:val="24"/>
          <w:szCs w:val="24"/>
        </w:rPr>
        <w:t>hxhu@scu.edu.dn</w:t>
      </w:r>
      <w:r>
        <w:rPr>
          <w:rFonts w:hint="eastAsia" w:ascii="宋体" w:hAnsi="宋体" w:cs="宋体"/>
          <w:b/>
          <w:bCs/>
          <w:kern w:val="0"/>
          <w:sz w:val="24"/>
          <w:szCs w:val="24"/>
        </w:rPr>
        <w:t>）。</w:t>
      </w:r>
      <w:r>
        <w:rPr>
          <w:rFonts w:hint="eastAsia" w:ascii="宋体" w:hAnsi="宋体" w:cs="宋体"/>
          <w:b/>
          <w:bCs/>
          <w:kern w:val="0"/>
          <w:sz w:val="24"/>
          <w:szCs w:val="24"/>
          <w:highlight w:val="yellow"/>
        </w:rPr>
        <w:t>组长由主管教学的院领导担任，副组长由主管学生工作的院领导担任，成员由各系系主任、学院教授委员会代表委员、学工、教务老师组成。</w:t>
      </w:r>
      <w:r>
        <w:rPr>
          <w:rFonts w:hint="eastAsia" w:ascii="宋体" w:hAnsi="宋体" w:cs="宋体"/>
          <w:b/>
          <w:bCs/>
          <w:kern w:val="0"/>
          <w:sz w:val="24"/>
          <w:szCs w:val="24"/>
        </w:rPr>
        <w:t>同时，学院成立专家审核小组（专家组成员原则上应具有相关学科副教授以上职称），专门负责推免生创新能力及潜质鉴定和材料审核工作。工作小组和专家审核小组成员均不得少于</w:t>
      </w:r>
      <w:r>
        <w:rPr>
          <w:rFonts w:ascii="宋体" w:hAnsi="宋体" w:cs="宋体"/>
          <w:b/>
          <w:bCs/>
          <w:kern w:val="0"/>
          <w:sz w:val="24"/>
          <w:szCs w:val="24"/>
        </w:rPr>
        <w:t>5</w:t>
      </w:r>
      <w:r>
        <w:rPr>
          <w:rFonts w:hint="eastAsia" w:ascii="宋体" w:hAnsi="宋体" w:cs="宋体"/>
          <w:b/>
          <w:bCs/>
          <w:kern w:val="0"/>
          <w:sz w:val="24"/>
          <w:szCs w:val="24"/>
        </w:rPr>
        <w:t>人，并注意学科专业平衡。</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highlight w:val="yellow"/>
        </w:rPr>
      </w:pPr>
      <w:r>
        <w:rPr>
          <w:rFonts w:ascii="宋体" w:hAnsi="宋体" w:cs="宋体"/>
          <w:b/>
          <w:bCs/>
          <w:kern w:val="0"/>
          <w:sz w:val="24"/>
          <w:szCs w:val="24"/>
          <w:highlight w:val="yellow"/>
        </w:rPr>
        <w:t>2</w:t>
      </w:r>
      <w:r>
        <w:rPr>
          <w:rFonts w:hint="eastAsia" w:ascii="宋体" w:hAnsi="宋体" w:cs="宋体"/>
          <w:b/>
          <w:bCs/>
          <w:kern w:val="0"/>
          <w:sz w:val="24"/>
          <w:szCs w:val="24"/>
          <w:highlight w:val="yellow"/>
        </w:rPr>
        <w:t>、外国语学院推免生工作领导小组：</w:t>
      </w:r>
    </w:p>
    <w:p>
      <w:pPr>
        <w:widowControl/>
        <w:shd w:val="clear" w:color="auto" w:fill="FFFFFF"/>
        <w:snapToGrid w:val="0"/>
        <w:spacing w:line="360" w:lineRule="auto"/>
        <w:ind w:left="44" w:leftChars="21" w:right="45"/>
        <w:jc w:val="left"/>
        <w:rPr>
          <w:b/>
          <w:sz w:val="24"/>
          <w:szCs w:val="24"/>
          <w:highlight w:val="yellow"/>
        </w:rPr>
      </w:pPr>
      <w:r>
        <w:rPr>
          <w:rFonts w:hint="eastAsia"/>
          <w:b/>
          <w:sz w:val="24"/>
          <w:szCs w:val="24"/>
          <w:highlight w:val="yellow"/>
        </w:rPr>
        <w:t>组</w:t>
      </w:r>
      <w:r>
        <w:rPr>
          <w:b/>
          <w:sz w:val="24"/>
          <w:szCs w:val="24"/>
          <w:highlight w:val="yellow"/>
        </w:rPr>
        <w:t xml:space="preserve">  </w:t>
      </w:r>
      <w:r>
        <w:rPr>
          <w:rFonts w:hint="eastAsia"/>
          <w:b/>
          <w:sz w:val="24"/>
          <w:szCs w:val="24"/>
          <w:highlight w:val="yellow"/>
        </w:rPr>
        <w:t>长：王彬、王欣</w:t>
      </w:r>
    </w:p>
    <w:p>
      <w:pPr>
        <w:widowControl/>
        <w:shd w:val="clear" w:color="auto" w:fill="FFFFFF"/>
        <w:snapToGrid w:val="0"/>
        <w:spacing w:line="360" w:lineRule="auto"/>
        <w:ind w:left="44" w:leftChars="21" w:right="45"/>
        <w:jc w:val="left"/>
        <w:rPr>
          <w:b/>
          <w:sz w:val="24"/>
          <w:szCs w:val="24"/>
          <w:highlight w:val="yellow"/>
        </w:rPr>
      </w:pPr>
      <w:r>
        <w:rPr>
          <w:rFonts w:hint="eastAsia"/>
          <w:b/>
          <w:sz w:val="24"/>
          <w:szCs w:val="24"/>
          <w:highlight w:val="yellow"/>
        </w:rPr>
        <w:t>副组长：方小莉、黄小虎</w:t>
      </w:r>
    </w:p>
    <w:p>
      <w:pPr>
        <w:widowControl/>
        <w:shd w:val="clear" w:color="auto" w:fill="FFFFFF"/>
        <w:snapToGrid w:val="0"/>
        <w:spacing w:line="360" w:lineRule="auto"/>
        <w:ind w:right="45"/>
        <w:jc w:val="left"/>
        <w:rPr>
          <w:rFonts w:ascii="宋体" w:cs="宋体"/>
          <w:b/>
          <w:bCs/>
          <w:kern w:val="0"/>
          <w:sz w:val="24"/>
          <w:szCs w:val="24"/>
          <w:highlight w:val="yellow"/>
        </w:rPr>
      </w:pPr>
      <w:r>
        <w:rPr>
          <w:rFonts w:hint="eastAsia"/>
          <w:b/>
          <w:sz w:val="24"/>
          <w:szCs w:val="24"/>
          <w:highlight w:val="yellow"/>
        </w:rPr>
        <w:t>组</w:t>
      </w:r>
      <w:r>
        <w:rPr>
          <w:b/>
          <w:sz w:val="24"/>
          <w:szCs w:val="24"/>
          <w:highlight w:val="yellow"/>
        </w:rPr>
        <w:t xml:space="preserve">  </w:t>
      </w:r>
      <w:r>
        <w:rPr>
          <w:rFonts w:hint="eastAsia"/>
          <w:b/>
          <w:sz w:val="24"/>
          <w:szCs w:val="24"/>
          <w:highlight w:val="yellow"/>
        </w:rPr>
        <w:t>员：崔梦田、张平、邱鑫、史维、敖敏、余淼</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highlight w:val="yellow"/>
        </w:rPr>
      </w:pPr>
      <w:r>
        <w:rPr>
          <w:rFonts w:ascii="宋体" w:hAnsi="宋体" w:cs="宋体"/>
          <w:b/>
          <w:bCs/>
          <w:kern w:val="0"/>
          <w:sz w:val="24"/>
          <w:szCs w:val="24"/>
          <w:highlight w:val="yellow"/>
        </w:rPr>
        <w:t>3.</w:t>
      </w:r>
      <w:r>
        <w:rPr>
          <w:rFonts w:hint="eastAsia" w:ascii="宋体" w:hAnsi="宋体" w:cs="宋体"/>
          <w:b/>
          <w:bCs/>
          <w:kern w:val="0"/>
          <w:sz w:val="24"/>
          <w:szCs w:val="24"/>
          <w:highlight w:val="yellow"/>
        </w:rPr>
        <w:t>外国语学院推免生遴选工作小组：</w:t>
      </w:r>
    </w:p>
    <w:p>
      <w:pPr>
        <w:widowControl/>
        <w:shd w:val="clear" w:color="auto" w:fill="FFFFFF"/>
        <w:snapToGrid w:val="0"/>
        <w:spacing w:line="360" w:lineRule="auto"/>
        <w:ind w:left="44" w:leftChars="21" w:right="45"/>
        <w:jc w:val="left"/>
        <w:rPr>
          <w:b/>
          <w:sz w:val="24"/>
          <w:szCs w:val="24"/>
          <w:highlight w:val="yellow"/>
        </w:rPr>
      </w:pPr>
      <w:r>
        <w:rPr>
          <w:rFonts w:hint="eastAsia"/>
          <w:b/>
          <w:sz w:val="24"/>
          <w:szCs w:val="24"/>
          <w:highlight w:val="yellow"/>
        </w:rPr>
        <w:t>组</w:t>
      </w:r>
      <w:r>
        <w:rPr>
          <w:b/>
          <w:sz w:val="24"/>
          <w:szCs w:val="24"/>
          <w:highlight w:val="yellow"/>
        </w:rPr>
        <w:t xml:space="preserve">  </w:t>
      </w:r>
      <w:r>
        <w:rPr>
          <w:rFonts w:hint="eastAsia"/>
          <w:b/>
          <w:sz w:val="24"/>
          <w:szCs w:val="24"/>
          <w:highlight w:val="yellow"/>
        </w:rPr>
        <w:t>长：方小莉</w:t>
      </w:r>
      <w:r>
        <w:rPr>
          <w:b/>
          <w:sz w:val="24"/>
          <w:szCs w:val="24"/>
          <w:highlight w:val="yellow"/>
        </w:rPr>
        <w:t xml:space="preserve"> </w:t>
      </w:r>
    </w:p>
    <w:p>
      <w:pPr>
        <w:widowControl/>
        <w:shd w:val="clear" w:color="auto" w:fill="FFFFFF"/>
        <w:snapToGrid w:val="0"/>
        <w:spacing w:line="360" w:lineRule="auto"/>
        <w:ind w:left="44" w:leftChars="21" w:right="45"/>
        <w:jc w:val="left"/>
        <w:rPr>
          <w:b/>
          <w:sz w:val="24"/>
          <w:szCs w:val="24"/>
          <w:highlight w:val="yellow"/>
        </w:rPr>
      </w:pPr>
      <w:r>
        <w:rPr>
          <w:rFonts w:hint="eastAsia"/>
          <w:b/>
          <w:sz w:val="24"/>
          <w:szCs w:val="24"/>
          <w:highlight w:val="yellow"/>
        </w:rPr>
        <w:t>副组长：黄小虎</w:t>
      </w:r>
    </w:p>
    <w:p>
      <w:pPr>
        <w:widowControl/>
        <w:shd w:val="clear" w:color="auto" w:fill="FFFFFF"/>
        <w:snapToGrid w:val="0"/>
        <w:spacing w:line="360" w:lineRule="auto"/>
        <w:ind w:left="44" w:leftChars="21" w:right="45"/>
        <w:jc w:val="left"/>
        <w:rPr>
          <w:rFonts w:ascii="宋体" w:cs="宋体"/>
          <w:b/>
          <w:bCs/>
          <w:kern w:val="0"/>
          <w:sz w:val="24"/>
          <w:szCs w:val="24"/>
          <w:highlight w:val="yellow"/>
        </w:rPr>
      </w:pPr>
      <w:r>
        <w:rPr>
          <w:rFonts w:hint="eastAsia"/>
          <w:b/>
          <w:sz w:val="24"/>
          <w:szCs w:val="24"/>
          <w:highlight w:val="yellow"/>
        </w:rPr>
        <w:t>组</w:t>
      </w:r>
      <w:r>
        <w:rPr>
          <w:b/>
          <w:sz w:val="24"/>
          <w:szCs w:val="24"/>
          <w:highlight w:val="yellow"/>
        </w:rPr>
        <w:t xml:space="preserve">  </w:t>
      </w:r>
      <w:r>
        <w:rPr>
          <w:rFonts w:hint="eastAsia"/>
          <w:b/>
          <w:sz w:val="24"/>
          <w:szCs w:val="24"/>
          <w:highlight w:val="yellow"/>
        </w:rPr>
        <w:t>员：崔梦田、张平、黄晓波、邱鑫、马文颖、史维、敖敏、刘瑞云、段峰、王安、陈杰、叶英、林敏、池济敏、金学勤、余淼、刘瑞云、何功明、夏欣欣、庞英、李兆芹</w:t>
      </w:r>
    </w:p>
    <w:p>
      <w:pPr>
        <w:widowControl/>
        <w:shd w:val="clear" w:color="auto" w:fill="FFFFFF"/>
        <w:snapToGrid w:val="0"/>
        <w:spacing w:line="360" w:lineRule="auto"/>
        <w:ind w:left="44" w:leftChars="21" w:right="45" w:firstLine="472" w:firstLineChars="196"/>
        <w:jc w:val="left"/>
        <w:rPr>
          <w:rFonts w:ascii="宋体" w:cs="宋体"/>
          <w:b/>
          <w:kern w:val="0"/>
          <w:sz w:val="24"/>
          <w:szCs w:val="24"/>
          <w:highlight w:val="yellow"/>
        </w:rPr>
      </w:pPr>
      <w:r>
        <w:rPr>
          <w:rFonts w:ascii="宋体" w:hAnsi="宋体" w:cs="宋体"/>
          <w:b/>
          <w:bCs/>
          <w:kern w:val="0"/>
          <w:sz w:val="24"/>
          <w:szCs w:val="24"/>
          <w:highlight w:val="yellow"/>
        </w:rPr>
        <w:t>4</w:t>
      </w:r>
      <w:r>
        <w:rPr>
          <w:rFonts w:hint="eastAsia" w:ascii="宋体" w:hAnsi="宋体" w:cs="宋体"/>
          <w:b/>
          <w:bCs/>
          <w:kern w:val="0"/>
          <w:sz w:val="24"/>
          <w:szCs w:val="24"/>
          <w:highlight w:val="yellow"/>
        </w:rPr>
        <w:t>、外国语学院推免生专家审核小组：</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highlight w:val="yellow"/>
        </w:rPr>
      </w:pPr>
      <w:r>
        <w:rPr>
          <w:rFonts w:hint="eastAsia" w:ascii="宋体" w:hAnsi="宋体" w:cs="宋体"/>
          <w:b/>
          <w:bCs/>
          <w:kern w:val="0"/>
          <w:sz w:val="24"/>
          <w:szCs w:val="24"/>
          <w:highlight w:val="yellow"/>
        </w:rPr>
        <w:t>段峰、王安、王欣、陈杰、叶英、左红珊、金学勤、方小莉、林敏、张平、池济敏、敖敏、刘瑞云、史维</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五、评分要求</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在考核过程中坚持公开、公平、公正的原则，根据学业成绩、科研能力与社会活动成绩相结合，确定推免生的综合成绩。符合推免条件的学生以综合成绩排名并公示。</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1</w:t>
      </w:r>
      <w:r>
        <w:rPr>
          <w:rFonts w:hint="eastAsia" w:ascii="宋体" w:hAnsi="宋体" w:cs="宋体"/>
          <w:b/>
          <w:bCs/>
          <w:kern w:val="0"/>
          <w:sz w:val="24"/>
          <w:szCs w:val="24"/>
        </w:rPr>
        <w:t>、综合成绩的计算方法</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hint="eastAsia" w:ascii="宋体" w:hAnsi="宋体" w:cs="宋体"/>
          <w:b/>
          <w:bCs/>
          <w:kern w:val="0"/>
          <w:sz w:val="24"/>
          <w:szCs w:val="24"/>
        </w:rPr>
        <w:t>综合成绩</w:t>
      </w:r>
      <w:r>
        <w:rPr>
          <w:rFonts w:ascii="宋体" w:hAnsi="宋体" w:cs="宋体"/>
          <w:b/>
          <w:bCs/>
          <w:kern w:val="0"/>
          <w:sz w:val="24"/>
          <w:szCs w:val="24"/>
        </w:rPr>
        <w:t>=</w:t>
      </w:r>
      <w:r>
        <w:rPr>
          <w:rFonts w:hint="eastAsia" w:ascii="宋体" w:hAnsi="宋体" w:cs="宋体"/>
          <w:b/>
          <w:bCs/>
          <w:kern w:val="0"/>
          <w:sz w:val="24"/>
          <w:szCs w:val="24"/>
        </w:rPr>
        <w:t>必修课程成绩×</w:t>
      </w:r>
      <w:r>
        <w:rPr>
          <w:rFonts w:ascii="宋体" w:hAnsi="宋体" w:cs="宋体"/>
          <w:b/>
          <w:bCs/>
          <w:kern w:val="0"/>
          <w:sz w:val="24"/>
          <w:szCs w:val="24"/>
        </w:rPr>
        <w:t>60%+</w:t>
      </w:r>
      <w:r>
        <w:rPr>
          <w:rFonts w:hint="eastAsia" w:ascii="宋体" w:hAnsi="宋体" w:cs="宋体"/>
          <w:b/>
          <w:bCs/>
          <w:kern w:val="0"/>
          <w:sz w:val="24"/>
          <w:szCs w:val="24"/>
        </w:rPr>
        <w:t>科研创新潜质和专业能力倾向成绩×</w:t>
      </w:r>
      <w:r>
        <w:rPr>
          <w:rFonts w:ascii="宋体" w:hAnsi="宋体" w:cs="宋体"/>
          <w:b/>
          <w:bCs/>
          <w:kern w:val="0"/>
          <w:sz w:val="24"/>
          <w:szCs w:val="24"/>
        </w:rPr>
        <w:t>35%+</w:t>
      </w:r>
      <w:r>
        <w:rPr>
          <w:rFonts w:hint="eastAsia" w:ascii="宋体" w:hAnsi="宋体" w:cs="宋体"/>
          <w:b/>
          <w:bCs/>
          <w:kern w:val="0"/>
          <w:sz w:val="24"/>
          <w:szCs w:val="24"/>
        </w:rPr>
        <w:t>社会实践活动加思想品德考核成绩×</w:t>
      </w:r>
      <w:r>
        <w:rPr>
          <w:rFonts w:ascii="宋体" w:hAnsi="宋体" w:cs="宋体"/>
          <w:b/>
          <w:bCs/>
          <w:kern w:val="0"/>
          <w:sz w:val="24"/>
          <w:szCs w:val="24"/>
        </w:rPr>
        <w:t>5%</w:t>
      </w:r>
      <w:r>
        <w:rPr>
          <w:rFonts w:hint="eastAsia" w:ascii="宋体" w:hAnsi="宋体" w:cs="宋体"/>
          <w:b/>
          <w:bCs/>
          <w:kern w:val="0"/>
          <w:sz w:val="24"/>
          <w:szCs w:val="24"/>
        </w:rPr>
        <w:t>（备注：学院综合素质可另加分）</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课程成绩计算采用学校教务处系统中必修课程特殊加权学分成绩，其计算方法为：</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课程成绩</w:t>
      </w:r>
      <w:r>
        <w:rPr>
          <w:rFonts w:ascii="宋体" w:hAnsi="宋体" w:cs="宋体"/>
          <w:b/>
          <w:bCs/>
          <w:kern w:val="0"/>
          <w:sz w:val="24"/>
          <w:szCs w:val="24"/>
        </w:rPr>
        <w:t>=</w:t>
      </w:r>
      <w:r>
        <w:rPr>
          <w:rFonts w:hint="eastAsia" w:ascii="宋体" w:hAnsi="宋体" w:cs="宋体"/>
          <w:b/>
          <w:bCs/>
          <w:kern w:val="0"/>
          <w:sz w:val="24"/>
          <w:szCs w:val="24"/>
        </w:rPr>
        <w:t>∑（某门课程成绩×课程学分）／∑课程学分</w:t>
      </w:r>
    </w:p>
    <w:p>
      <w:pPr>
        <w:widowControl/>
        <w:shd w:val="clear" w:color="auto" w:fill="FFFFFF"/>
        <w:adjustRightInd w:val="0"/>
        <w:snapToGrid w:val="0"/>
        <w:spacing w:line="360" w:lineRule="auto"/>
        <w:ind w:firstLine="482" w:firstLineChars="200"/>
        <w:jc w:val="left"/>
        <w:rPr>
          <w:rFonts w:ascii="宋体" w:cs="宋体"/>
          <w:b/>
          <w:bCs/>
          <w:kern w:val="0"/>
          <w:sz w:val="24"/>
          <w:szCs w:val="24"/>
        </w:rPr>
      </w:pPr>
      <w:r>
        <w:rPr>
          <w:rFonts w:ascii="宋体" w:hAnsi="宋体" w:cs="宋体"/>
          <w:b/>
          <w:bCs/>
          <w:kern w:val="0"/>
          <w:sz w:val="24"/>
          <w:szCs w:val="24"/>
        </w:rPr>
        <w:t>2</w:t>
      </w:r>
      <w:r>
        <w:rPr>
          <w:rFonts w:hint="eastAsia" w:ascii="宋体" w:hAnsi="宋体" w:cs="宋体"/>
          <w:b/>
          <w:bCs/>
          <w:kern w:val="0"/>
          <w:sz w:val="24"/>
          <w:szCs w:val="24"/>
        </w:rPr>
        <w:t>、科研创新潜质、专业能力与社会实践范围的认定</w:t>
      </w:r>
    </w:p>
    <w:p>
      <w:pPr>
        <w:widowControl/>
        <w:shd w:val="clear" w:color="auto" w:fill="FFFFFF"/>
        <w:adjustRightInd w:val="0"/>
        <w:snapToGrid w:val="0"/>
        <w:spacing w:line="360" w:lineRule="auto"/>
        <w:ind w:firstLine="482" w:firstLineChars="200"/>
        <w:jc w:val="left"/>
        <w:rPr>
          <w:rFonts w:ascii="宋体" w:cs="宋体"/>
          <w:b/>
          <w:bCs/>
          <w:kern w:val="0"/>
          <w:sz w:val="24"/>
          <w:szCs w:val="24"/>
        </w:rPr>
      </w:pPr>
      <w:r>
        <w:rPr>
          <w:rFonts w:hint="eastAsia" w:ascii="宋体" w:hAnsi="宋体" w:cs="宋体"/>
          <w:b/>
          <w:bCs/>
          <w:kern w:val="0"/>
          <w:sz w:val="24"/>
          <w:szCs w:val="24"/>
        </w:rPr>
        <w:t>科研创新潜质、专业能力及社会实践认定范围包括科研成果、学科竞赛、学生工作与社团活动。</w:t>
      </w:r>
      <w:r>
        <w:rPr>
          <w:rFonts w:hint="eastAsia" w:ascii="宋体" w:hAnsi="宋体" w:cs="宋体"/>
          <w:b/>
          <w:bCs/>
          <w:kern w:val="0"/>
          <w:sz w:val="24"/>
          <w:szCs w:val="24"/>
          <w:highlight w:val="yellow"/>
        </w:rPr>
        <w:t>相关证明材料统计截止时间为</w:t>
      </w:r>
      <w:r>
        <w:rPr>
          <w:rFonts w:ascii="宋体" w:hAnsi="宋体" w:cs="宋体"/>
          <w:b/>
          <w:bCs/>
          <w:kern w:val="0"/>
          <w:sz w:val="24"/>
          <w:szCs w:val="24"/>
          <w:highlight w:val="yellow"/>
        </w:rPr>
        <w:t>8</w:t>
      </w:r>
      <w:r>
        <w:rPr>
          <w:rFonts w:hint="eastAsia" w:ascii="宋体" w:hAnsi="宋体" w:cs="宋体"/>
          <w:b/>
          <w:bCs/>
          <w:kern w:val="0"/>
          <w:sz w:val="24"/>
          <w:szCs w:val="24"/>
          <w:highlight w:val="yellow"/>
        </w:rPr>
        <w:t>月</w:t>
      </w:r>
      <w:r>
        <w:rPr>
          <w:rFonts w:ascii="宋体" w:hAnsi="宋体" w:cs="宋体"/>
          <w:b/>
          <w:bCs/>
          <w:kern w:val="0"/>
          <w:sz w:val="24"/>
          <w:szCs w:val="24"/>
          <w:highlight w:val="yellow"/>
        </w:rPr>
        <w:t>31</w:t>
      </w:r>
      <w:r>
        <w:rPr>
          <w:rFonts w:hint="eastAsia" w:ascii="宋体" w:hAnsi="宋体" w:cs="宋体"/>
          <w:b/>
          <w:bCs/>
          <w:kern w:val="0"/>
          <w:sz w:val="24"/>
          <w:szCs w:val="24"/>
          <w:highlight w:val="yellow"/>
        </w:rPr>
        <w:t>日。</w:t>
      </w:r>
    </w:p>
    <w:p>
      <w:pPr>
        <w:widowControl/>
        <w:shd w:val="clear" w:color="auto" w:fill="FFFFFF"/>
        <w:adjustRightInd w:val="0"/>
        <w:snapToGrid w:val="0"/>
        <w:spacing w:line="360" w:lineRule="auto"/>
        <w:ind w:firstLine="482" w:firstLineChars="200"/>
        <w:jc w:val="left"/>
        <w:rPr>
          <w:rFonts w:ascii="宋体" w:cs="宋体"/>
          <w:b/>
          <w:bCs/>
          <w:kern w:val="0"/>
          <w:sz w:val="24"/>
          <w:szCs w:val="24"/>
        </w:rPr>
      </w:pPr>
      <w:r>
        <w:rPr>
          <w:rFonts w:hint="eastAsia" w:ascii="宋体" w:hAnsi="宋体" w:cs="宋体"/>
          <w:b/>
          <w:bCs/>
          <w:kern w:val="0"/>
          <w:sz w:val="24"/>
          <w:szCs w:val="24"/>
        </w:rPr>
        <w:t>具体内容为：</w:t>
      </w:r>
    </w:p>
    <w:p>
      <w:pPr>
        <w:widowControl/>
        <w:shd w:val="clear" w:color="auto" w:fill="FFFFFF"/>
        <w:adjustRightInd w:val="0"/>
        <w:snapToGrid w:val="0"/>
        <w:spacing w:line="360" w:lineRule="auto"/>
        <w:ind w:firstLine="482" w:firstLineChars="200"/>
        <w:jc w:val="left"/>
        <w:rPr>
          <w:rFonts w:ascii="宋体" w:cs="宋体"/>
          <w:b/>
          <w:bCs/>
          <w:kern w:val="0"/>
          <w:sz w:val="24"/>
          <w:szCs w:val="24"/>
        </w:rPr>
      </w:pPr>
      <w:r>
        <w:rPr>
          <w:rFonts w:hint="eastAsia" w:ascii="宋体" w:hAnsi="宋体" w:cs="宋体"/>
          <w:b/>
          <w:bCs/>
          <w:kern w:val="0"/>
          <w:sz w:val="24"/>
          <w:szCs w:val="24"/>
        </w:rPr>
        <w:t>（</w:t>
      </w:r>
      <w:r>
        <w:rPr>
          <w:rFonts w:ascii="宋体" w:hAnsi="宋体" w:cs="宋体"/>
          <w:b/>
          <w:bCs/>
          <w:kern w:val="0"/>
          <w:sz w:val="24"/>
          <w:szCs w:val="24"/>
        </w:rPr>
        <w:t>1</w:t>
      </w:r>
      <w:r>
        <w:rPr>
          <w:rFonts w:hint="eastAsia" w:ascii="宋体" w:hAnsi="宋体" w:cs="宋体"/>
          <w:b/>
          <w:bCs/>
          <w:kern w:val="0"/>
          <w:sz w:val="24"/>
          <w:szCs w:val="24"/>
        </w:rPr>
        <w:t>）科研成果：主要指发表在公开刊物、</w:t>
      </w:r>
      <w:r>
        <w:rPr>
          <w:rFonts w:ascii="宋体" w:hAnsi="宋体" w:cs="宋体"/>
          <w:b/>
          <w:bCs/>
          <w:kern w:val="0"/>
          <w:sz w:val="24"/>
          <w:szCs w:val="24"/>
        </w:rPr>
        <w:t>CSSCI</w:t>
      </w:r>
      <w:r>
        <w:rPr>
          <w:rFonts w:hint="eastAsia" w:ascii="宋体" w:hAnsi="宋体" w:cs="宋体"/>
          <w:b/>
          <w:bCs/>
          <w:kern w:val="0"/>
          <w:sz w:val="24"/>
          <w:szCs w:val="24"/>
        </w:rPr>
        <w:t>、</w:t>
      </w:r>
      <w:r>
        <w:rPr>
          <w:rFonts w:ascii="宋体" w:hAnsi="宋体" w:cs="宋体"/>
          <w:b/>
          <w:bCs/>
          <w:kern w:val="0"/>
          <w:sz w:val="24"/>
          <w:szCs w:val="24"/>
        </w:rPr>
        <w:t>SCI</w:t>
      </w:r>
      <w:r>
        <w:rPr>
          <w:rFonts w:hint="eastAsia" w:ascii="宋体" w:hAnsi="宋体" w:cs="宋体"/>
          <w:b/>
          <w:bCs/>
          <w:kern w:val="0"/>
          <w:sz w:val="24"/>
          <w:szCs w:val="24"/>
        </w:rPr>
        <w:t>、</w:t>
      </w:r>
      <w:r>
        <w:rPr>
          <w:rFonts w:ascii="宋体" w:hAnsi="宋体" w:cs="宋体"/>
          <w:b/>
          <w:bCs/>
          <w:kern w:val="0"/>
          <w:sz w:val="24"/>
          <w:szCs w:val="24"/>
        </w:rPr>
        <w:t>SSCI</w:t>
      </w:r>
      <w:r>
        <w:rPr>
          <w:rFonts w:hint="eastAsia" w:ascii="宋体" w:hAnsi="宋体" w:cs="宋体"/>
          <w:b/>
          <w:bCs/>
          <w:kern w:val="0"/>
          <w:sz w:val="24"/>
          <w:szCs w:val="24"/>
        </w:rPr>
        <w:t>、核心期刊（北大版）上的论文；主编或参编的著作；主研项目获省级及以上奖励。</w:t>
      </w:r>
    </w:p>
    <w:p>
      <w:pPr>
        <w:widowControl/>
        <w:shd w:val="clear" w:color="auto" w:fill="FFFFFF"/>
        <w:adjustRightInd w:val="0"/>
        <w:snapToGrid w:val="0"/>
        <w:spacing w:line="360" w:lineRule="auto"/>
        <w:ind w:firstLine="482" w:firstLineChars="200"/>
        <w:jc w:val="left"/>
        <w:rPr>
          <w:rFonts w:ascii="宋体" w:cs="宋体"/>
          <w:b/>
          <w:kern w:val="0"/>
          <w:sz w:val="24"/>
          <w:szCs w:val="24"/>
        </w:rPr>
      </w:pPr>
      <w:r>
        <w:rPr>
          <w:rFonts w:hint="eastAsia" w:ascii="宋体" w:hAnsi="宋体" w:cs="宋体"/>
          <w:b/>
          <w:bCs/>
          <w:kern w:val="0"/>
          <w:sz w:val="24"/>
          <w:szCs w:val="24"/>
        </w:rPr>
        <w:t>（</w:t>
      </w:r>
      <w:r>
        <w:rPr>
          <w:rFonts w:ascii="宋体" w:hAnsi="宋体" w:cs="宋体"/>
          <w:b/>
          <w:bCs/>
          <w:kern w:val="0"/>
          <w:sz w:val="24"/>
          <w:szCs w:val="24"/>
        </w:rPr>
        <w:t>2</w:t>
      </w:r>
      <w:r>
        <w:rPr>
          <w:rFonts w:hint="eastAsia" w:ascii="宋体" w:hAnsi="宋体" w:cs="宋体"/>
          <w:b/>
          <w:bCs/>
          <w:kern w:val="0"/>
          <w:sz w:val="24"/>
          <w:szCs w:val="24"/>
        </w:rPr>
        <w:t>）科研活动：负责或主研科研项目。</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w:t>
      </w:r>
      <w:r>
        <w:rPr>
          <w:rFonts w:ascii="宋体" w:hAnsi="宋体" w:cs="宋体"/>
          <w:b/>
          <w:bCs/>
          <w:kern w:val="0"/>
          <w:sz w:val="24"/>
          <w:szCs w:val="24"/>
        </w:rPr>
        <w:t>3</w:t>
      </w:r>
      <w:r>
        <w:rPr>
          <w:rFonts w:hint="eastAsia" w:ascii="宋体" w:hAnsi="宋体" w:cs="宋体"/>
          <w:b/>
          <w:bCs/>
          <w:kern w:val="0"/>
          <w:sz w:val="24"/>
          <w:szCs w:val="24"/>
        </w:rPr>
        <w:t>）学科竞赛：主要指省级及以上科技、知识类竞赛奖励（如外语演讲比赛、辩论比赛、写作比赛、口笔译比赛、知识竞赛、全国大学生英语竞赛等）。</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w:t>
      </w:r>
      <w:r>
        <w:rPr>
          <w:rFonts w:ascii="宋体" w:hAnsi="宋体" w:cs="宋体"/>
          <w:b/>
          <w:bCs/>
          <w:kern w:val="0"/>
          <w:sz w:val="24"/>
          <w:szCs w:val="24"/>
        </w:rPr>
        <w:t>4</w:t>
      </w:r>
      <w:r>
        <w:rPr>
          <w:rFonts w:hint="eastAsia" w:ascii="宋体" w:hAnsi="宋体" w:cs="宋体"/>
          <w:b/>
          <w:bCs/>
          <w:kern w:val="0"/>
          <w:sz w:val="24"/>
          <w:szCs w:val="24"/>
        </w:rPr>
        <w:t>）社会活动：包括文艺活动（主要指省级及以上文学、艺术类竞赛奖励）、体育活动（主要指省级及以上体育类竞赛奖励）、社会实践活动（主要指承担校内学生组织、社团活动等），以及校外公益活动并获校级以上奖励。</w:t>
      </w:r>
    </w:p>
    <w:p>
      <w:pPr>
        <w:widowControl/>
        <w:shd w:val="clear" w:color="auto" w:fill="FFFFFF"/>
        <w:snapToGrid w:val="0"/>
        <w:spacing w:line="360" w:lineRule="auto"/>
        <w:ind w:left="44" w:leftChars="21" w:right="45" w:firstLine="470" w:firstLineChars="195"/>
        <w:jc w:val="left"/>
        <w:rPr>
          <w:rFonts w:ascii="宋体" w:cs="宋体"/>
          <w:b/>
          <w:bCs/>
          <w:kern w:val="0"/>
          <w:sz w:val="24"/>
          <w:szCs w:val="24"/>
        </w:rPr>
      </w:pPr>
      <w:r>
        <w:rPr>
          <w:rFonts w:hint="eastAsia" w:ascii="宋体" w:hAnsi="宋体" w:cs="宋体"/>
          <w:b/>
          <w:bCs/>
          <w:kern w:val="0"/>
          <w:sz w:val="24"/>
          <w:szCs w:val="24"/>
        </w:rPr>
        <w:t>科研创新潜质、专业能力与社会实践范围成绩计分须由学生提交相关成果原件，对学生提交的成果实行代表作评价，学生在某一方面中有多项加分情况时，原则上只取一项，具体由学院组织专家小组作出予以认定、不予认定，或如何认定的决定。学生与直系亲属或学历、职称、职务明显高于本人者合作的科研成果、竞赛奖项等仅作为参考，不纳入学生本人推免遴选综合评价成绩计算体系，同等条件下可优先考虑。对于社会质疑较多的赛事、刊物，需要从严把关。科研能力计分可以累加，总分不能超过</w:t>
      </w:r>
      <w:r>
        <w:rPr>
          <w:rFonts w:ascii="宋体" w:hAnsi="宋体" w:cs="宋体"/>
          <w:b/>
          <w:bCs/>
          <w:kern w:val="0"/>
          <w:sz w:val="24"/>
          <w:szCs w:val="24"/>
        </w:rPr>
        <w:t>35</w:t>
      </w:r>
      <w:r>
        <w:rPr>
          <w:rFonts w:hint="eastAsia" w:ascii="宋体" w:hAnsi="宋体" w:cs="宋体"/>
          <w:b/>
          <w:bCs/>
          <w:kern w:val="0"/>
          <w:sz w:val="24"/>
          <w:szCs w:val="24"/>
        </w:rPr>
        <w:t>分；具体计分办法参见《四川大学外国语学院推免生科研创新潜质及专业能力计分办法》。社会实践活动加思想品德考核总分不能超过</w:t>
      </w:r>
      <w:r>
        <w:rPr>
          <w:rFonts w:ascii="宋体" w:hAnsi="宋体" w:cs="宋体"/>
          <w:b/>
          <w:bCs/>
          <w:kern w:val="0"/>
          <w:sz w:val="24"/>
          <w:szCs w:val="24"/>
        </w:rPr>
        <w:t>5</w:t>
      </w:r>
      <w:r>
        <w:rPr>
          <w:rFonts w:hint="eastAsia" w:ascii="宋体" w:hAnsi="宋体" w:cs="宋体"/>
          <w:b/>
          <w:bCs/>
          <w:kern w:val="0"/>
          <w:sz w:val="24"/>
          <w:szCs w:val="24"/>
        </w:rPr>
        <w:t>分，其中社会实践成绩计分取最高一项成绩，不能累加。此外，学院可根据综合素质评价情况另行加分。</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六、推免生工作程序</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1</w:t>
      </w:r>
      <w:r>
        <w:rPr>
          <w:rFonts w:hint="eastAsia" w:ascii="宋体" w:hAnsi="宋体" w:cs="宋体"/>
          <w:b/>
          <w:bCs/>
          <w:kern w:val="0"/>
          <w:sz w:val="24"/>
          <w:szCs w:val="24"/>
        </w:rPr>
        <w:t>、符合推免条件的学生可以向学院提出申请，并签署承诺书（承诺：①所提交的所有材料真实、符合学术诚信与规范；如有违反，接受学院取消推免资格的决定。②如果被录取并且符合入学条件，则绝不浪费这一深造机会；否则，愿意承担由此造成的一切后果），同时提交有关成果与奖励证明原件及学院教务部门提供的必修课程成绩，辅导员初审后交学院推免工作小组；符合推免条件但自愿放弃推免的学生必须向学院提交放弃保研申请。</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2</w:t>
      </w:r>
      <w:r>
        <w:rPr>
          <w:rFonts w:hint="eastAsia" w:ascii="宋体" w:hAnsi="宋体" w:cs="宋体"/>
          <w:b/>
          <w:bCs/>
          <w:kern w:val="0"/>
          <w:sz w:val="24"/>
          <w:szCs w:val="24"/>
        </w:rPr>
        <w:t>、学院推免工作小组采用学校教务处系统中必修课程特殊加权学分成绩。（详见《外国语学院关于专业排名等问题的通知》），对参加推免的同学进行初排名，排名前</w:t>
      </w:r>
      <w:r>
        <w:rPr>
          <w:rFonts w:ascii="宋体" w:hAnsi="宋体" w:cs="宋体"/>
          <w:b/>
          <w:bCs/>
          <w:kern w:val="0"/>
          <w:sz w:val="24"/>
          <w:szCs w:val="24"/>
        </w:rPr>
        <w:t>50%</w:t>
      </w:r>
      <w:r>
        <w:rPr>
          <w:rFonts w:hint="eastAsia" w:ascii="宋体" w:hAnsi="宋体" w:cs="宋体"/>
          <w:b/>
          <w:bCs/>
          <w:kern w:val="0"/>
          <w:sz w:val="24"/>
          <w:szCs w:val="24"/>
        </w:rPr>
        <w:t>的同学获得入围资格。</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3</w:t>
      </w:r>
      <w:r>
        <w:rPr>
          <w:rFonts w:hint="eastAsia" w:ascii="宋体" w:hAnsi="宋体" w:cs="宋体"/>
          <w:b/>
          <w:bCs/>
          <w:kern w:val="0"/>
          <w:sz w:val="24"/>
          <w:szCs w:val="24"/>
        </w:rPr>
        <w:t>、考核小组将课程成绩、科研创新潜质、专业能力倾向成绩、社会实践活动加思想品德考核成绩汇总，并以总成绩排序，按学校分配的推免限额提出推免生初选名单，经学院党政联席会或院务会讨论通过后公示，公示内容应包括所有参加推免学生的姓名、专业、综合成绩、排名、资格获得情况以及咨询申诉渠道等信息。对有异议的学生，学院将查明情况，公布处理结果，并报教务处备案。如发现弄虚作假或作弊者，将取消其推免生资格，并追究相关人员责任。由学院将《四川大学推荐优秀应届本科毕业生免试攻读研究生汇总表》（同时附电子文档）报送教务处。</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4</w:t>
      </w:r>
      <w:r>
        <w:rPr>
          <w:rFonts w:hint="eastAsia" w:ascii="宋体" w:hAnsi="宋体" w:cs="宋体"/>
          <w:b/>
          <w:bCs/>
          <w:kern w:val="0"/>
          <w:sz w:val="24"/>
          <w:szCs w:val="24"/>
        </w:rPr>
        <w:t>、教务处汇总并初步审查全校推免生初选名单，并将审查情况报学校推免生遴选工作领导小组审定，主管教学的校领导审批。</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5</w:t>
      </w:r>
      <w:r>
        <w:rPr>
          <w:rFonts w:hint="eastAsia" w:ascii="宋体" w:hAnsi="宋体" w:cs="宋体"/>
          <w:b/>
          <w:bCs/>
          <w:kern w:val="0"/>
          <w:sz w:val="24"/>
          <w:szCs w:val="24"/>
        </w:rPr>
        <w:t>、所有获得资格的推免生在接收阶段需登录“全国推荐优秀应届本科毕业生免试攻读研究生信息公开暨管理服务系统”（网址：</w:t>
      </w:r>
      <w:r>
        <w:rPr>
          <w:rFonts w:ascii="宋体" w:hAnsi="宋体" w:cs="宋体"/>
          <w:b/>
          <w:bCs/>
          <w:kern w:val="0"/>
          <w:sz w:val="24"/>
          <w:szCs w:val="24"/>
        </w:rPr>
        <w:t>Http://yz.chsi.com.cn/tm</w:t>
      </w:r>
      <w:r>
        <w:rPr>
          <w:rFonts w:hint="eastAsia" w:ascii="宋体" w:hAnsi="宋体" w:cs="宋体"/>
          <w:b/>
          <w:bCs/>
          <w:kern w:val="0"/>
          <w:sz w:val="24"/>
          <w:szCs w:val="24"/>
        </w:rPr>
        <w:t>）注册、查询招生单位的招收推免生章程和专业目录，填写报考志愿，接收并确认招生单位的复试及待录取通知。</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6</w:t>
      </w:r>
      <w:r>
        <w:rPr>
          <w:rFonts w:hint="eastAsia" w:ascii="宋体" w:hAnsi="宋体" w:cs="宋体"/>
          <w:b/>
          <w:bCs/>
          <w:kern w:val="0"/>
          <w:sz w:val="24"/>
          <w:szCs w:val="24"/>
        </w:rPr>
        <w:t>、研究生招生办公室根据学校推免生初选名单，组织学生填写《全国推荐免试攻读硕士学位研究生登记表》，并办理相关后续事宜。</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七、有关管理事项</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1</w:t>
      </w:r>
      <w:r>
        <w:rPr>
          <w:rFonts w:hint="eastAsia" w:ascii="宋体" w:hAnsi="宋体" w:cs="宋体"/>
          <w:b/>
          <w:bCs/>
          <w:kern w:val="0"/>
          <w:sz w:val="24"/>
          <w:szCs w:val="24"/>
        </w:rPr>
        <w:t>、获得免试资格者一律不纳入当年毕业生就业计划，学院与拟推免学生签订推免承诺书，学生不得放弃推免资格（不可抗因素除外）。</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2</w:t>
      </w:r>
      <w:r>
        <w:rPr>
          <w:rFonts w:hint="eastAsia" w:ascii="宋体" w:hAnsi="宋体" w:cs="宋体"/>
          <w:b/>
          <w:bCs/>
          <w:kern w:val="0"/>
          <w:sz w:val="24"/>
          <w:szCs w:val="24"/>
        </w:rPr>
        <w:t>、获得免试资格者如有下列情况之一的，将取消其推免资格：</w:t>
      </w:r>
    </w:p>
    <w:p>
      <w:pPr>
        <w:pStyle w:val="22"/>
        <w:spacing w:beforeLines="0" w:line="360" w:lineRule="auto"/>
        <w:ind w:firstLine="31680"/>
        <w:rPr>
          <w:rFonts w:ascii="宋体" w:hAnsi="宋体" w:eastAsia="宋体" w:cs="宋体"/>
          <w:b/>
          <w:bCs/>
          <w:kern w:val="0"/>
          <w:sz w:val="24"/>
          <w:szCs w:val="24"/>
          <w:shd w:val="clear" w:color="auto" w:fill="auto"/>
        </w:rPr>
      </w:pPr>
      <w:r>
        <w:rPr>
          <w:rFonts w:hint="eastAsia" w:ascii="宋体" w:hAnsi="宋体" w:eastAsia="宋体" w:cs="宋体"/>
          <w:b/>
          <w:bCs/>
          <w:kern w:val="0"/>
          <w:sz w:val="24"/>
          <w:szCs w:val="24"/>
          <w:shd w:val="clear" w:color="auto" w:fill="auto"/>
        </w:rPr>
        <w:t>（</w:t>
      </w:r>
      <w:r>
        <w:rPr>
          <w:rFonts w:ascii="宋体" w:hAnsi="宋体" w:eastAsia="宋体" w:cs="宋体"/>
          <w:b/>
          <w:bCs/>
          <w:kern w:val="0"/>
          <w:sz w:val="24"/>
          <w:szCs w:val="24"/>
          <w:shd w:val="clear" w:color="auto" w:fill="auto"/>
        </w:rPr>
        <w:t>1</w:t>
      </w:r>
      <w:r>
        <w:rPr>
          <w:rFonts w:hint="eastAsia" w:ascii="宋体" w:hAnsi="宋体" w:eastAsia="宋体" w:cs="宋体"/>
          <w:b/>
          <w:bCs/>
          <w:kern w:val="0"/>
          <w:sz w:val="24"/>
          <w:szCs w:val="24"/>
          <w:shd w:val="clear" w:color="auto" w:fill="auto"/>
        </w:rPr>
        <w:t>）在申请过程中弄虚作假；</w:t>
      </w:r>
    </w:p>
    <w:p>
      <w:pPr>
        <w:pStyle w:val="22"/>
        <w:spacing w:beforeLines="0" w:line="360" w:lineRule="auto"/>
        <w:ind w:firstLine="31680"/>
        <w:rPr>
          <w:rFonts w:ascii="宋体" w:hAnsi="宋体" w:eastAsia="宋体" w:cs="宋体"/>
          <w:b/>
          <w:bCs/>
          <w:kern w:val="0"/>
          <w:sz w:val="24"/>
          <w:szCs w:val="24"/>
          <w:shd w:val="clear" w:color="auto" w:fill="auto"/>
        </w:rPr>
      </w:pPr>
      <w:r>
        <w:rPr>
          <w:rFonts w:hint="eastAsia" w:ascii="宋体" w:hAnsi="宋体" w:eastAsia="宋体" w:cs="宋体"/>
          <w:b/>
          <w:bCs/>
          <w:kern w:val="0"/>
          <w:sz w:val="24"/>
          <w:szCs w:val="24"/>
          <w:shd w:val="clear" w:color="auto" w:fill="auto"/>
        </w:rPr>
        <w:t>（</w:t>
      </w:r>
      <w:r>
        <w:rPr>
          <w:rFonts w:ascii="宋体" w:hAnsi="宋体" w:eastAsia="宋体" w:cs="宋体"/>
          <w:b/>
          <w:bCs/>
          <w:kern w:val="0"/>
          <w:sz w:val="24"/>
          <w:szCs w:val="24"/>
          <w:shd w:val="clear" w:color="auto" w:fill="auto"/>
        </w:rPr>
        <w:t>2</w:t>
      </w:r>
      <w:r>
        <w:rPr>
          <w:rFonts w:hint="eastAsia" w:ascii="宋体" w:hAnsi="宋体" w:eastAsia="宋体" w:cs="宋体"/>
          <w:b/>
          <w:bCs/>
          <w:kern w:val="0"/>
          <w:sz w:val="24"/>
          <w:szCs w:val="24"/>
          <w:shd w:val="clear" w:color="auto" w:fill="auto"/>
        </w:rPr>
        <w:t>）研究生入学前未取得学士学位；</w:t>
      </w:r>
    </w:p>
    <w:p>
      <w:pPr>
        <w:pStyle w:val="22"/>
        <w:spacing w:beforeLines="0" w:line="360" w:lineRule="auto"/>
        <w:ind w:firstLine="31680"/>
        <w:rPr>
          <w:rFonts w:ascii="宋体" w:hAnsi="宋体" w:eastAsia="宋体" w:cs="宋体"/>
          <w:b/>
          <w:bCs/>
          <w:kern w:val="0"/>
          <w:sz w:val="24"/>
          <w:szCs w:val="24"/>
          <w:shd w:val="clear" w:color="auto" w:fill="auto"/>
        </w:rPr>
      </w:pPr>
      <w:r>
        <w:rPr>
          <w:rFonts w:hint="eastAsia" w:ascii="宋体" w:hAnsi="宋体" w:eastAsia="宋体" w:cs="宋体"/>
          <w:b/>
          <w:bCs/>
          <w:kern w:val="0"/>
          <w:sz w:val="24"/>
          <w:szCs w:val="24"/>
          <w:shd w:val="clear" w:color="auto" w:fill="auto"/>
        </w:rPr>
        <w:t>（</w:t>
      </w:r>
      <w:r>
        <w:rPr>
          <w:rFonts w:ascii="宋体" w:hAnsi="宋体" w:eastAsia="宋体" w:cs="宋体"/>
          <w:b/>
          <w:bCs/>
          <w:kern w:val="0"/>
          <w:sz w:val="24"/>
          <w:szCs w:val="24"/>
          <w:shd w:val="clear" w:color="auto" w:fill="auto"/>
        </w:rPr>
        <w:t>3</w:t>
      </w:r>
      <w:r>
        <w:rPr>
          <w:rFonts w:hint="eastAsia" w:ascii="宋体" w:hAnsi="宋体" w:eastAsia="宋体" w:cs="宋体"/>
          <w:b/>
          <w:bCs/>
          <w:kern w:val="0"/>
          <w:sz w:val="24"/>
          <w:szCs w:val="24"/>
          <w:shd w:val="clear" w:color="auto" w:fill="auto"/>
        </w:rPr>
        <w:t>）取得免试资格后有违法违纪、考试舞弊、学术不端行为或受到处分；</w:t>
      </w:r>
    </w:p>
    <w:p>
      <w:pPr>
        <w:pStyle w:val="22"/>
        <w:spacing w:beforeLines="0" w:line="360" w:lineRule="auto"/>
        <w:ind w:firstLine="31680"/>
        <w:rPr>
          <w:rFonts w:ascii="宋体" w:hAnsi="宋体" w:eastAsia="宋体" w:cs="宋体"/>
          <w:b/>
          <w:bCs/>
          <w:kern w:val="0"/>
          <w:sz w:val="24"/>
          <w:szCs w:val="24"/>
          <w:shd w:val="clear" w:color="auto" w:fill="auto"/>
        </w:rPr>
      </w:pPr>
      <w:r>
        <w:rPr>
          <w:rFonts w:hint="eastAsia" w:ascii="宋体" w:hAnsi="宋体" w:eastAsia="宋体" w:cs="宋体"/>
          <w:b/>
          <w:bCs/>
          <w:kern w:val="0"/>
          <w:sz w:val="24"/>
          <w:szCs w:val="24"/>
          <w:shd w:val="clear" w:color="auto" w:fill="auto"/>
        </w:rPr>
        <w:t>（</w:t>
      </w:r>
      <w:r>
        <w:rPr>
          <w:rFonts w:ascii="宋体" w:hAnsi="宋体" w:eastAsia="宋体" w:cs="宋体"/>
          <w:b/>
          <w:bCs/>
          <w:kern w:val="0"/>
          <w:sz w:val="24"/>
          <w:szCs w:val="24"/>
          <w:shd w:val="clear" w:color="auto" w:fill="auto"/>
        </w:rPr>
        <w:t>4</w:t>
      </w:r>
      <w:r>
        <w:rPr>
          <w:rFonts w:hint="eastAsia" w:ascii="宋体" w:hAnsi="宋体" w:eastAsia="宋体" w:cs="宋体"/>
          <w:b/>
          <w:bCs/>
          <w:kern w:val="0"/>
          <w:sz w:val="24"/>
          <w:szCs w:val="24"/>
          <w:shd w:val="clear" w:color="auto" w:fill="auto"/>
        </w:rPr>
        <w:t>）在毕业学年中所修必修课程（包括毕业实习、毕业设计及毕业论文）考核成绩低于满分的</w:t>
      </w:r>
      <w:r>
        <w:rPr>
          <w:rFonts w:ascii="宋体" w:hAnsi="宋体" w:eastAsia="宋体" w:cs="宋体"/>
          <w:b/>
          <w:bCs/>
          <w:kern w:val="0"/>
          <w:sz w:val="24"/>
          <w:szCs w:val="24"/>
          <w:shd w:val="clear" w:color="auto" w:fill="auto"/>
        </w:rPr>
        <w:t>80%</w:t>
      </w:r>
      <w:r>
        <w:rPr>
          <w:rFonts w:hint="eastAsia" w:ascii="宋体" w:hAnsi="宋体" w:eastAsia="宋体" w:cs="宋体"/>
          <w:b/>
          <w:bCs/>
          <w:kern w:val="0"/>
          <w:sz w:val="24"/>
          <w:szCs w:val="24"/>
          <w:shd w:val="clear" w:color="auto" w:fill="auto"/>
        </w:rPr>
        <w:t>（或</w:t>
      </w:r>
      <w:r>
        <w:rPr>
          <w:rFonts w:ascii="宋体" w:hAnsi="宋体" w:eastAsia="宋体" w:cs="宋体"/>
          <w:b/>
          <w:bCs/>
          <w:kern w:val="0"/>
          <w:sz w:val="24"/>
          <w:szCs w:val="24"/>
          <w:shd w:val="clear" w:color="auto" w:fill="auto"/>
        </w:rPr>
        <w:t>B+</w:t>
      </w:r>
      <w:r>
        <w:rPr>
          <w:rFonts w:hint="eastAsia" w:ascii="宋体" w:hAnsi="宋体" w:eastAsia="宋体" w:cs="宋体"/>
          <w:b/>
          <w:bCs/>
          <w:kern w:val="0"/>
          <w:sz w:val="24"/>
          <w:szCs w:val="24"/>
          <w:shd w:val="clear" w:color="auto" w:fill="auto"/>
        </w:rPr>
        <w:t>）；</w:t>
      </w:r>
    </w:p>
    <w:p>
      <w:pPr>
        <w:pStyle w:val="22"/>
        <w:spacing w:beforeLines="0" w:line="360" w:lineRule="auto"/>
        <w:ind w:firstLine="31680"/>
        <w:rPr>
          <w:rFonts w:ascii="宋体" w:hAnsi="宋体" w:eastAsia="宋体" w:cs="宋体"/>
          <w:b/>
          <w:bCs/>
          <w:kern w:val="0"/>
          <w:sz w:val="24"/>
          <w:szCs w:val="24"/>
          <w:shd w:val="clear" w:color="auto" w:fill="auto"/>
        </w:rPr>
      </w:pPr>
      <w:bookmarkStart w:id="0" w:name="_Hlk29479925"/>
      <w:r>
        <w:rPr>
          <w:rFonts w:hint="eastAsia" w:ascii="宋体" w:hAnsi="宋体" w:eastAsia="宋体" w:cs="宋体"/>
          <w:b/>
          <w:bCs/>
          <w:kern w:val="0"/>
          <w:sz w:val="24"/>
          <w:szCs w:val="24"/>
          <w:shd w:val="clear" w:color="auto" w:fill="auto"/>
        </w:rPr>
        <w:t>（</w:t>
      </w:r>
      <w:r>
        <w:rPr>
          <w:rFonts w:ascii="宋体" w:hAnsi="宋体" w:eastAsia="宋体" w:cs="宋体"/>
          <w:b/>
          <w:bCs/>
          <w:kern w:val="0"/>
          <w:sz w:val="24"/>
          <w:szCs w:val="24"/>
          <w:shd w:val="clear" w:color="auto" w:fill="auto"/>
        </w:rPr>
        <w:t>5</w:t>
      </w:r>
      <w:r>
        <w:rPr>
          <w:rFonts w:hint="eastAsia" w:ascii="宋体" w:hAnsi="宋体" w:eastAsia="宋体" w:cs="宋体"/>
          <w:b/>
          <w:bCs/>
          <w:kern w:val="0"/>
          <w:sz w:val="24"/>
          <w:szCs w:val="24"/>
          <w:shd w:val="clear" w:color="auto" w:fill="auto"/>
        </w:rPr>
        <w:t>）体质测试成绩未达标。</w:t>
      </w:r>
      <w:bookmarkEnd w:id="0"/>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3</w:t>
      </w:r>
      <w:r>
        <w:rPr>
          <w:rFonts w:hint="eastAsia" w:ascii="宋体" w:hAnsi="宋体" w:cs="宋体"/>
          <w:b/>
          <w:bCs/>
          <w:kern w:val="0"/>
          <w:sz w:val="24"/>
          <w:szCs w:val="24"/>
        </w:rPr>
        <w:t>、鼓励参加考核但未被推荐免试的学生参加研究生入学考试，在符合基本条件的前提下优先录取。</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hint="eastAsia" w:ascii="宋体" w:hAnsi="宋体" w:cs="宋体"/>
          <w:b/>
          <w:bCs/>
          <w:kern w:val="0"/>
          <w:sz w:val="24"/>
          <w:szCs w:val="24"/>
        </w:rPr>
        <w:t>本办法中关于推荐办法、推免名额分配方案、拟推免名单等重要事项，以及本办法未尽事宜，由本单位推免生遴选工作小组集体研究审定，本办法从发布之日起实行，具体事宜由学院推免工作小组解释。</w:t>
      </w:r>
    </w:p>
    <w:p>
      <w:pPr>
        <w:widowControl/>
        <w:shd w:val="clear" w:color="auto" w:fill="FFFFFF"/>
        <w:snapToGrid w:val="0"/>
        <w:spacing w:line="360" w:lineRule="auto"/>
        <w:ind w:left="45" w:right="45"/>
        <w:jc w:val="right"/>
        <w:rPr>
          <w:rFonts w:ascii="宋体" w:cs="宋体"/>
          <w:b/>
          <w:kern w:val="0"/>
          <w:sz w:val="24"/>
          <w:szCs w:val="24"/>
        </w:rPr>
      </w:pPr>
      <w:r>
        <w:rPr>
          <w:rFonts w:hint="eastAsia" w:ascii="宋体" w:hAnsi="宋体" w:cs="宋体"/>
          <w:b/>
          <w:bCs/>
          <w:kern w:val="0"/>
          <w:sz w:val="24"/>
          <w:szCs w:val="24"/>
        </w:rPr>
        <w:t>四川大学外国语学院</w:t>
      </w:r>
    </w:p>
    <w:p>
      <w:pPr>
        <w:widowControl/>
        <w:shd w:val="clear" w:color="auto" w:fill="FFFFFF"/>
        <w:snapToGrid w:val="0"/>
        <w:spacing w:line="360" w:lineRule="auto"/>
        <w:ind w:left="45" w:right="345"/>
        <w:jc w:val="right"/>
        <w:rPr>
          <w:rFonts w:ascii="宋体" w:cs="宋体"/>
          <w:b/>
          <w:kern w:val="0"/>
          <w:sz w:val="24"/>
          <w:szCs w:val="24"/>
        </w:rPr>
      </w:pPr>
      <w:r>
        <w:rPr>
          <w:rFonts w:ascii="宋体" w:hAnsi="宋体" w:cs="宋体"/>
          <w:b/>
          <w:bCs/>
          <w:kern w:val="0"/>
          <w:sz w:val="24"/>
          <w:szCs w:val="24"/>
        </w:rPr>
        <w:t>2022</w:t>
      </w:r>
      <w:r>
        <w:rPr>
          <w:rFonts w:hint="eastAsia" w:ascii="宋体" w:hAnsi="宋体" w:cs="宋体"/>
          <w:b/>
          <w:bCs/>
          <w:kern w:val="0"/>
          <w:sz w:val="24"/>
          <w:szCs w:val="24"/>
        </w:rPr>
        <w:t>年</w:t>
      </w:r>
      <w:r>
        <w:rPr>
          <w:rFonts w:ascii="宋体" w:hAnsi="宋体" w:cs="宋体"/>
          <w:b/>
          <w:bCs/>
          <w:kern w:val="0"/>
          <w:sz w:val="24"/>
          <w:szCs w:val="24"/>
        </w:rPr>
        <w:t>9</w:t>
      </w:r>
      <w:r>
        <w:rPr>
          <w:rFonts w:hint="eastAsia" w:ascii="宋体" w:hAnsi="宋体" w:cs="宋体"/>
          <w:b/>
          <w:bCs/>
          <w:kern w:val="0"/>
          <w:sz w:val="24"/>
          <w:szCs w:val="24"/>
        </w:rPr>
        <w:t>月</w:t>
      </w:r>
      <w:r>
        <w:rPr>
          <w:rFonts w:ascii="宋体" w:hAnsi="宋体" w:cs="宋体"/>
          <w:b/>
          <w:bCs/>
          <w:kern w:val="0"/>
          <w:sz w:val="24"/>
          <w:szCs w:val="24"/>
        </w:rPr>
        <w:t>11</w:t>
      </w:r>
      <w:r>
        <w:rPr>
          <w:rFonts w:hint="eastAsia" w:ascii="宋体" w:hAnsi="宋体" w:cs="宋体"/>
          <w:b/>
          <w:bCs/>
          <w:kern w:val="0"/>
          <w:sz w:val="24"/>
          <w:szCs w:val="24"/>
        </w:rPr>
        <w:t>日</w:t>
      </w:r>
    </w:p>
    <w:p>
      <w:pPr>
        <w:widowControl/>
        <w:shd w:val="clear" w:color="auto" w:fill="FFFFFF"/>
        <w:tabs>
          <w:tab w:val="left" w:pos="6368"/>
        </w:tabs>
        <w:snapToGrid w:val="0"/>
        <w:spacing w:line="360" w:lineRule="auto"/>
        <w:ind w:left="45" w:right="45"/>
        <w:jc w:val="left"/>
        <w:rPr>
          <w:rFonts w:ascii="宋体" w:cs="宋体"/>
          <w:b/>
          <w:bCs/>
          <w:kern w:val="0"/>
          <w:sz w:val="24"/>
          <w:szCs w:val="24"/>
        </w:rPr>
      </w:pPr>
      <w:r>
        <w:rPr>
          <w:rFonts w:ascii="宋体" w:hAnsi="宋体" w:cs="宋体"/>
          <w:b/>
          <w:bCs/>
          <w:kern w:val="0"/>
          <w:sz w:val="24"/>
          <w:szCs w:val="24"/>
        </w:rPr>
        <w:t xml:space="preserve"> </w:t>
      </w:r>
      <w:r>
        <w:rPr>
          <w:rFonts w:ascii="宋体" w:cs="宋体"/>
          <w:b/>
          <w:bCs/>
          <w:kern w:val="0"/>
          <w:sz w:val="24"/>
          <w:szCs w:val="24"/>
        </w:rPr>
        <w:tab/>
      </w:r>
    </w:p>
    <w:p>
      <w:pPr>
        <w:widowControl/>
        <w:shd w:val="clear" w:color="auto" w:fill="FFFFFF"/>
        <w:snapToGrid w:val="0"/>
        <w:spacing w:line="360" w:lineRule="auto"/>
        <w:ind w:left="45" w:right="45"/>
        <w:jc w:val="center"/>
        <w:rPr>
          <w:rFonts w:ascii="宋体" w:cs="宋体"/>
          <w:b/>
          <w:bCs/>
          <w:kern w:val="0"/>
          <w:sz w:val="24"/>
          <w:szCs w:val="24"/>
        </w:rPr>
      </w:pPr>
      <w:r>
        <w:rPr>
          <w:rFonts w:hint="eastAsia" w:ascii="宋体" w:hAnsi="宋体" w:cs="宋体"/>
          <w:b/>
          <w:bCs/>
          <w:kern w:val="0"/>
          <w:sz w:val="24"/>
          <w:szCs w:val="24"/>
        </w:rPr>
        <w:t>四川大学外国语学院推免生科研创新潜质及专业能力计分办法</w:t>
      </w:r>
    </w:p>
    <w:p>
      <w:pPr>
        <w:widowControl/>
        <w:shd w:val="clear" w:color="auto" w:fill="FFFFFF"/>
        <w:snapToGrid w:val="0"/>
        <w:spacing w:line="360" w:lineRule="auto"/>
        <w:ind w:left="45" w:right="45"/>
        <w:jc w:val="center"/>
        <w:rPr>
          <w:rFonts w:ascii="宋体" w:cs="宋体"/>
          <w:b/>
          <w:bCs/>
          <w:kern w:val="0"/>
          <w:sz w:val="24"/>
          <w:szCs w:val="24"/>
        </w:rPr>
      </w:pP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hint="eastAsia" w:ascii="宋体" w:hAnsi="宋体" w:cs="宋体"/>
          <w:b/>
          <w:bCs/>
          <w:kern w:val="0"/>
          <w:sz w:val="24"/>
          <w:szCs w:val="24"/>
        </w:rPr>
        <w:t>以下各项体现科研创新潜质及专业能力的计分项目应与外国语言文学学科有一定关联；毫无关联的不予统计；各项计分可累计，但最多不超过</w:t>
      </w:r>
      <w:r>
        <w:rPr>
          <w:rFonts w:ascii="宋体" w:hAnsi="宋体" w:cs="宋体"/>
          <w:b/>
          <w:bCs/>
          <w:kern w:val="0"/>
          <w:sz w:val="24"/>
          <w:szCs w:val="24"/>
        </w:rPr>
        <w:t>35</w:t>
      </w:r>
      <w:r>
        <w:rPr>
          <w:rFonts w:hint="eastAsia" w:ascii="宋体" w:hAnsi="宋体" w:cs="宋体"/>
          <w:b/>
          <w:bCs/>
          <w:kern w:val="0"/>
          <w:sz w:val="24"/>
          <w:szCs w:val="24"/>
        </w:rPr>
        <w:t>分（含</w:t>
      </w:r>
      <w:r>
        <w:rPr>
          <w:rFonts w:ascii="宋体" w:hAnsi="宋体" w:cs="宋体"/>
          <w:b/>
          <w:bCs/>
          <w:kern w:val="0"/>
          <w:sz w:val="24"/>
          <w:szCs w:val="24"/>
        </w:rPr>
        <w:t>35</w:t>
      </w:r>
      <w:r>
        <w:rPr>
          <w:rFonts w:hint="eastAsia" w:ascii="宋体" w:hAnsi="宋体" w:cs="宋体"/>
          <w:b/>
          <w:bCs/>
          <w:kern w:val="0"/>
          <w:sz w:val="24"/>
          <w:szCs w:val="24"/>
        </w:rPr>
        <w:t>分）。</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hint="eastAsia" w:ascii="宋体" w:hAnsi="宋体" w:cs="宋体"/>
          <w:b/>
          <w:bCs/>
          <w:kern w:val="0"/>
          <w:sz w:val="24"/>
          <w:szCs w:val="24"/>
        </w:rPr>
        <w:t>一、专业学术著作、论文计分办法：</w:t>
      </w:r>
    </w:p>
    <w:p>
      <w:pPr>
        <w:widowControl/>
        <w:shd w:val="clear" w:color="auto" w:fill="FFFFFF"/>
        <w:snapToGrid w:val="0"/>
        <w:spacing w:line="360" w:lineRule="auto"/>
        <w:ind w:left="44" w:leftChars="21" w:right="45" w:firstLine="472" w:firstLineChars="196"/>
        <w:jc w:val="left"/>
        <w:rPr>
          <w:rFonts w:ascii="宋体" w:cs="宋体"/>
          <w:b/>
          <w:kern w:val="0"/>
          <w:sz w:val="24"/>
          <w:szCs w:val="24"/>
        </w:rPr>
      </w:pPr>
      <w:r>
        <w:rPr>
          <w:rFonts w:ascii="宋体" w:hAnsi="宋体" w:cs="宋体"/>
          <w:b/>
          <w:bCs/>
          <w:kern w:val="0"/>
          <w:sz w:val="24"/>
          <w:szCs w:val="24"/>
        </w:rPr>
        <w:t xml:space="preserve">1 </w:t>
      </w:r>
      <w:r>
        <w:rPr>
          <w:rFonts w:hint="eastAsia" w:ascii="宋体" w:hAnsi="宋体" w:cs="宋体"/>
          <w:b/>
          <w:bCs/>
          <w:kern w:val="0"/>
          <w:sz w:val="24"/>
          <w:szCs w:val="24"/>
        </w:rPr>
        <w:t>．著作或论文均应以四川大学为第一署名单位，且已正式发表或出版，否则不纳入评选参考范围。用稿通知不予认可。</w:t>
      </w:r>
    </w:p>
    <w:p>
      <w:pPr>
        <w:widowControl/>
        <w:shd w:val="clear" w:color="auto" w:fill="FFFFFF"/>
        <w:snapToGrid w:val="0"/>
        <w:spacing w:line="360" w:lineRule="auto"/>
        <w:ind w:left="45" w:right="45"/>
        <w:jc w:val="left"/>
        <w:rPr>
          <w:rFonts w:ascii="宋体" w:cs="宋体"/>
          <w:b/>
          <w:kern w:val="0"/>
          <w:sz w:val="24"/>
          <w:szCs w:val="24"/>
        </w:rPr>
      </w:pPr>
      <w:r>
        <w:rPr>
          <w:rFonts w:ascii="宋体" w:hAnsi="宋体" w:cs="宋体"/>
          <w:b/>
          <w:bCs/>
          <w:kern w:val="0"/>
          <w:sz w:val="24"/>
          <w:szCs w:val="24"/>
        </w:rPr>
        <w:t xml:space="preserve">    2 </w:t>
      </w:r>
      <w:r>
        <w:rPr>
          <w:rFonts w:hint="eastAsia" w:ascii="宋体" w:hAnsi="宋体" w:cs="宋体"/>
          <w:b/>
          <w:bCs/>
          <w:kern w:val="0"/>
          <w:sz w:val="24"/>
          <w:szCs w:val="24"/>
        </w:rPr>
        <w:t>．著作只计专著和学术类译著，按发表字数计分。专著字数起点为</w:t>
      </w:r>
      <w:r>
        <w:rPr>
          <w:rFonts w:ascii="宋体" w:hAnsi="宋体" w:cs="宋体"/>
          <w:b/>
          <w:bCs/>
          <w:kern w:val="0"/>
          <w:sz w:val="24"/>
          <w:szCs w:val="24"/>
        </w:rPr>
        <w:t xml:space="preserve">10 </w:t>
      </w:r>
      <w:r>
        <w:rPr>
          <w:rFonts w:hint="eastAsia" w:ascii="宋体" w:hAnsi="宋体" w:cs="宋体"/>
          <w:b/>
          <w:bCs/>
          <w:kern w:val="0"/>
          <w:sz w:val="24"/>
          <w:szCs w:val="24"/>
        </w:rPr>
        <w:t>万字（</w:t>
      </w:r>
      <w:r>
        <w:rPr>
          <w:rFonts w:ascii="宋体" w:hAnsi="宋体" w:cs="宋体"/>
          <w:b/>
          <w:bCs/>
          <w:kern w:val="0"/>
          <w:sz w:val="24"/>
          <w:szCs w:val="24"/>
        </w:rPr>
        <w:t>5</w:t>
      </w:r>
      <w:r>
        <w:rPr>
          <w:rFonts w:hint="eastAsia" w:ascii="宋体" w:hAnsi="宋体" w:cs="宋体"/>
          <w:b/>
          <w:bCs/>
          <w:kern w:val="0"/>
          <w:sz w:val="24"/>
          <w:szCs w:val="24"/>
        </w:rPr>
        <w:t>分），每增加</w:t>
      </w:r>
      <w:r>
        <w:rPr>
          <w:rFonts w:ascii="宋体" w:hAnsi="宋体" w:cs="宋体"/>
          <w:b/>
          <w:bCs/>
          <w:kern w:val="0"/>
          <w:sz w:val="24"/>
          <w:szCs w:val="24"/>
        </w:rPr>
        <w:t xml:space="preserve">5 </w:t>
      </w:r>
      <w:r>
        <w:rPr>
          <w:rFonts w:hint="eastAsia" w:ascii="宋体" w:hAnsi="宋体" w:cs="宋体"/>
          <w:b/>
          <w:bCs/>
          <w:kern w:val="0"/>
          <w:sz w:val="24"/>
          <w:szCs w:val="24"/>
        </w:rPr>
        <w:t>万字加</w:t>
      </w:r>
      <w:r>
        <w:rPr>
          <w:rFonts w:ascii="宋体" w:hAnsi="宋体" w:cs="宋体"/>
          <w:b/>
          <w:bCs/>
          <w:kern w:val="0"/>
          <w:sz w:val="24"/>
          <w:szCs w:val="24"/>
        </w:rPr>
        <w:t>1</w:t>
      </w:r>
      <w:r>
        <w:rPr>
          <w:rFonts w:hint="eastAsia" w:ascii="宋体" w:hAnsi="宋体" w:cs="宋体"/>
          <w:b/>
          <w:bCs/>
          <w:kern w:val="0"/>
          <w:sz w:val="24"/>
          <w:szCs w:val="24"/>
        </w:rPr>
        <w:t>分，最高不超过</w:t>
      </w:r>
      <w:r>
        <w:rPr>
          <w:rFonts w:ascii="宋体" w:hAnsi="宋体" w:cs="宋体"/>
          <w:b/>
          <w:bCs/>
          <w:kern w:val="0"/>
          <w:sz w:val="24"/>
          <w:szCs w:val="24"/>
        </w:rPr>
        <w:t xml:space="preserve"> 10</w:t>
      </w:r>
      <w:r>
        <w:rPr>
          <w:rFonts w:hint="eastAsia" w:ascii="宋体" w:hAnsi="宋体" w:cs="宋体"/>
          <w:b/>
          <w:bCs/>
          <w:kern w:val="0"/>
          <w:sz w:val="24"/>
          <w:szCs w:val="24"/>
        </w:rPr>
        <w:t>分；学术类译著字数起点为</w:t>
      </w:r>
      <w:r>
        <w:rPr>
          <w:rFonts w:ascii="宋体" w:hAnsi="宋体" w:cs="宋体"/>
          <w:b/>
          <w:bCs/>
          <w:kern w:val="0"/>
          <w:sz w:val="24"/>
          <w:szCs w:val="24"/>
        </w:rPr>
        <w:t>10</w:t>
      </w:r>
      <w:r>
        <w:rPr>
          <w:rFonts w:hint="eastAsia" w:ascii="宋体" w:hAnsi="宋体" w:cs="宋体"/>
          <w:b/>
          <w:bCs/>
          <w:kern w:val="0"/>
          <w:sz w:val="24"/>
          <w:szCs w:val="24"/>
        </w:rPr>
        <w:t>万字（</w:t>
      </w:r>
      <w:r>
        <w:rPr>
          <w:rFonts w:ascii="宋体" w:hAnsi="宋体" w:cs="宋体"/>
          <w:b/>
          <w:bCs/>
          <w:kern w:val="0"/>
          <w:sz w:val="24"/>
          <w:szCs w:val="24"/>
        </w:rPr>
        <w:t xml:space="preserve"> 3</w:t>
      </w:r>
      <w:r>
        <w:rPr>
          <w:rFonts w:hint="eastAsia" w:ascii="宋体" w:hAnsi="宋体" w:cs="宋体"/>
          <w:b/>
          <w:bCs/>
          <w:kern w:val="0"/>
          <w:sz w:val="24"/>
          <w:szCs w:val="24"/>
        </w:rPr>
        <w:t>分），每增加</w:t>
      </w:r>
      <w:r>
        <w:rPr>
          <w:rFonts w:ascii="宋体" w:hAnsi="宋体" w:cs="宋体"/>
          <w:b/>
          <w:bCs/>
          <w:kern w:val="0"/>
          <w:sz w:val="24"/>
          <w:szCs w:val="24"/>
        </w:rPr>
        <w:t xml:space="preserve">5 </w:t>
      </w:r>
      <w:r>
        <w:rPr>
          <w:rFonts w:hint="eastAsia" w:ascii="宋体" w:hAnsi="宋体" w:cs="宋体"/>
          <w:b/>
          <w:bCs/>
          <w:kern w:val="0"/>
          <w:sz w:val="24"/>
          <w:szCs w:val="24"/>
        </w:rPr>
        <w:t>万字加</w:t>
      </w:r>
      <w:r>
        <w:rPr>
          <w:rFonts w:ascii="宋体" w:hAnsi="宋体" w:cs="宋体"/>
          <w:b/>
          <w:bCs/>
          <w:kern w:val="0"/>
          <w:sz w:val="24"/>
          <w:szCs w:val="24"/>
        </w:rPr>
        <w:t>1</w:t>
      </w:r>
      <w:r>
        <w:rPr>
          <w:rFonts w:hint="eastAsia" w:ascii="宋体" w:hAnsi="宋体" w:cs="宋体"/>
          <w:b/>
          <w:bCs/>
          <w:kern w:val="0"/>
          <w:sz w:val="24"/>
          <w:szCs w:val="24"/>
        </w:rPr>
        <w:t>分，最高不超过</w:t>
      </w:r>
      <w:r>
        <w:rPr>
          <w:rFonts w:ascii="宋体" w:hAnsi="宋体" w:cs="宋体"/>
          <w:b/>
          <w:bCs/>
          <w:kern w:val="0"/>
          <w:sz w:val="24"/>
          <w:szCs w:val="24"/>
        </w:rPr>
        <w:t xml:space="preserve">8 </w:t>
      </w:r>
      <w:r>
        <w:rPr>
          <w:rFonts w:hint="eastAsia" w:ascii="宋体" w:hAnsi="宋体" w:cs="宋体"/>
          <w:b/>
          <w:bCs/>
          <w:kern w:val="0"/>
          <w:sz w:val="24"/>
          <w:szCs w:val="24"/>
        </w:rPr>
        <w:t>分。</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 xml:space="preserve">3 </w:t>
      </w:r>
      <w:r>
        <w:rPr>
          <w:rFonts w:hint="eastAsia" w:ascii="宋体" w:hAnsi="宋体" w:cs="宋体"/>
          <w:b/>
          <w:bCs/>
          <w:kern w:val="0"/>
          <w:sz w:val="24"/>
          <w:szCs w:val="24"/>
        </w:rPr>
        <w:t>．参评者发表论文为唯一作者或第一作者的计满分；参评者以第二作者署名、第一作者为指导老师的，按一半分值计；若第一和第二作者均属本院学生，两人可自行商定每人在计算分值时所占百分比（比如：两人各占</w:t>
      </w:r>
      <w:r>
        <w:rPr>
          <w:rFonts w:ascii="宋体" w:hAnsi="宋体" w:cs="宋体"/>
          <w:b/>
          <w:bCs/>
          <w:kern w:val="0"/>
          <w:sz w:val="24"/>
          <w:szCs w:val="24"/>
        </w:rPr>
        <w:t>50%</w:t>
      </w:r>
      <w:r>
        <w:rPr>
          <w:rFonts w:hint="eastAsia" w:ascii="宋体" w:hAnsi="宋体" w:cs="宋体"/>
          <w:b/>
          <w:bCs/>
          <w:kern w:val="0"/>
          <w:sz w:val="24"/>
          <w:szCs w:val="24"/>
        </w:rPr>
        <w:t>，或分别占</w:t>
      </w:r>
      <w:r>
        <w:rPr>
          <w:rFonts w:ascii="宋体" w:hAnsi="宋体" w:cs="宋体"/>
          <w:b/>
          <w:bCs/>
          <w:kern w:val="0"/>
          <w:sz w:val="24"/>
          <w:szCs w:val="24"/>
        </w:rPr>
        <w:t>60%</w:t>
      </w:r>
      <w:r>
        <w:rPr>
          <w:rFonts w:hint="eastAsia" w:ascii="宋体" w:hAnsi="宋体" w:cs="宋体"/>
          <w:b/>
          <w:bCs/>
          <w:kern w:val="0"/>
          <w:sz w:val="24"/>
          <w:szCs w:val="24"/>
        </w:rPr>
        <w:t>和</w:t>
      </w:r>
      <w:r>
        <w:rPr>
          <w:rFonts w:ascii="宋体" w:hAnsi="宋体" w:cs="宋体"/>
          <w:b/>
          <w:bCs/>
          <w:kern w:val="0"/>
          <w:sz w:val="24"/>
          <w:szCs w:val="24"/>
        </w:rPr>
        <w:t>40%</w:t>
      </w:r>
      <w:r>
        <w:rPr>
          <w:rFonts w:hint="eastAsia" w:ascii="宋体" w:hAnsi="宋体" w:cs="宋体"/>
          <w:b/>
          <w:bCs/>
          <w:kern w:val="0"/>
          <w:sz w:val="24"/>
          <w:szCs w:val="24"/>
        </w:rPr>
        <w:t>、</w:t>
      </w:r>
      <w:r>
        <w:rPr>
          <w:rFonts w:ascii="宋体" w:hAnsi="宋体" w:cs="宋体"/>
          <w:b/>
          <w:bCs/>
          <w:kern w:val="0"/>
          <w:sz w:val="24"/>
          <w:szCs w:val="24"/>
        </w:rPr>
        <w:t>70%</w:t>
      </w:r>
      <w:r>
        <w:rPr>
          <w:rFonts w:hint="eastAsia" w:ascii="宋体" w:hAnsi="宋体" w:cs="宋体"/>
          <w:b/>
          <w:bCs/>
          <w:kern w:val="0"/>
          <w:sz w:val="24"/>
          <w:szCs w:val="24"/>
        </w:rPr>
        <w:t>和</w:t>
      </w:r>
      <w:r>
        <w:rPr>
          <w:rFonts w:ascii="宋体" w:hAnsi="宋体" w:cs="宋体"/>
          <w:b/>
          <w:bCs/>
          <w:kern w:val="0"/>
          <w:sz w:val="24"/>
          <w:szCs w:val="24"/>
        </w:rPr>
        <w:t>30%</w:t>
      </w:r>
      <w:r>
        <w:rPr>
          <w:rFonts w:hint="eastAsia" w:ascii="宋体" w:hAnsi="宋体" w:cs="宋体"/>
          <w:b/>
          <w:bCs/>
          <w:kern w:val="0"/>
          <w:sz w:val="24"/>
          <w:szCs w:val="24"/>
        </w:rPr>
        <w:t>等）；若第一作者为本校其它学院学生、参评者为第二作者，是否计分或如何计分，由评审专家组根据参评者提供的材料商议后集体决定。若参评者为第二作者，第一作者为上述三种情况之外的其他人，则不予认可；在认可的学术期刊上发表的翻译或编译类文章，分值按</w:t>
      </w:r>
      <w:r>
        <w:rPr>
          <w:rFonts w:ascii="宋体" w:hAnsi="宋体" w:cs="宋体"/>
          <w:b/>
          <w:bCs/>
          <w:kern w:val="0"/>
          <w:sz w:val="24"/>
          <w:szCs w:val="24"/>
        </w:rPr>
        <w:t>80%</w:t>
      </w:r>
      <w:r>
        <w:rPr>
          <w:rFonts w:hint="eastAsia" w:ascii="宋体" w:hAnsi="宋体" w:cs="宋体"/>
          <w:b/>
          <w:bCs/>
          <w:kern w:val="0"/>
          <w:sz w:val="24"/>
          <w:szCs w:val="24"/>
        </w:rPr>
        <w:t>计。参评论文每篇字数原则上不少于</w:t>
      </w:r>
      <w:r>
        <w:rPr>
          <w:rFonts w:ascii="宋体" w:hAnsi="宋体" w:cs="宋体"/>
          <w:b/>
          <w:bCs/>
          <w:kern w:val="0"/>
          <w:sz w:val="24"/>
          <w:szCs w:val="24"/>
        </w:rPr>
        <w:t>4000</w:t>
      </w:r>
      <w:r>
        <w:rPr>
          <w:rFonts w:hint="eastAsia" w:ascii="宋体" w:hAnsi="宋体" w:cs="宋体"/>
          <w:b/>
          <w:bCs/>
          <w:kern w:val="0"/>
          <w:sz w:val="24"/>
          <w:szCs w:val="24"/>
        </w:rPr>
        <w:t>字。</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 xml:space="preserve">4 </w:t>
      </w:r>
      <w:r>
        <w:rPr>
          <w:rFonts w:hint="eastAsia" w:ascii="宋体" w:hAnsi="宋体" w:cs="宋体"/>
          <w:b/>
          <w:bCs/>
          <w:kern w:val="0"/>
          <w:sz w:val="24"/>
          <w:szCs w:val="24"/>
        </w:rPr>
        <w:t>．期刊等级分为</w:t>
      </w:r>
      <w:r>
        <w:rPr>
          <w:rFonts w:ascii="宋体" w:hAnsi="宋体" w:cs="宋体"/>
          <w:b/>
          <w:bCs/>
          <w:kern w:val="0"/>
          <w:sz w:val="24"/>
          <w:szCs w:val="24"/>
        </w:rPr>
        <w:t>A</w:t>
      </w:r>
      <w:r>
        <w:rPr>
          <w:rFonts w:hint="eastAsia" w:ascii="宋体" w:hAnsi="宋体" w:cs="宋体"/>
          <w:b/>
          <w:bCs/>
          <w:kern w:val="0"/>
          <w:sz w:val="24"/>
          <w:szCs w:val="24"/>
        </w:rPr>
        <w:t>级期刊、</w:t>
      </w:r>
      <w:r>
        <w:rPr>
          <w:rFonts w:ascii="宋体" w:hAnsi="宋体" w:cs="宋体"/>
          <w:b/>
          <w:bCs/>
          <w:kern w:val="0"/>
          <w:sz w:val="24"/>
          <w:szCs w:val="24"/>
        </w:rPr>
        <w:t>B</w:t>
      </w:r>
      <w:r>
        <w:rPr>
          <w:rFonts w:hint="eastAsia" w:ascii="宋体" w:hAnsi="宋体" w:cs="宋体"/>
          <w:b/>
          <w:bCs/>
          <w:kern w:val="0"/>
          <w:sz w:val="24"/>
          <w:szCs w:val="24"/>
        </w:rPr>
        <w:t>级期刊、</w:t>
      </w:r>
      <w:r>
        <w:rPr>
          <w:rFonts w:ascii="宋体" w:hAnsi="宋体" w:cs="宋体"/>
          <w:b/>
          <w:bCs/>
          <w:kern w:val="0"/>
          <w:sz w:val="24"/>
          <w:szCs w:val="24"/>
        </w:rPr>
        <w:t>C</w:t>
      </w:r>
      <w:r>
        <w:rPr>
          <w:rFonts w:hint="eastAsia" w:ascii="宋体" w:hAnsi="宋体" w:cs="宋体"/>
          <w:b/>
          <w:bCs/>
          <w:kern w:val="0"/>
          <w:sz w:val="24"/>
          <w:szCs w:val="24"/>
        </w:rPr>
        <w:t>级期刊、</w:t>
      </w:r>
      <w:r>
        <w:rPr>
          <w:rFonts w:ascii="宋体" w:hAnsi="宋体" w:cs="宋体"/>
          <w:b/>
          <w:bCs/>
          <w:kern w:val="0"/>
          <w:sz w:val="24"/>
          <w:szCs w:val="24"/>
        </w:rPr>
        <w:t>D</w:t>
      </w:r>
      <w:r>
        <w:rPr>
          <w:rFonts w:hint="eastAsia" w:ascii="宋体" w:hAnsi="宋体" w:cs="宋体"/>
          <w:b/>
          <w:bCs/>
          <w:kern w:val="0"/>
          <w:sz w:val="24"/>
          <w:szCs w:val="24"/>
        </w:rPr>
        <w:t>级期刊（以学校社科处公布的“四川大学哲学社会科学期刊分级方案”为准）。</w:t>
      </w:r>
      <w:r>
        <w:rPr>
          <w:rFonts w:ascii="宋体" w:hAnsi="宋体" w:cs="宋体"/>
          <w:b/>
          <w:bCs/>
          <w:kern w:val="0"/>
          <w:sz w:val="24"/>
          <w:szCs w:val="24"/>
        </w:rPr>
        <w:t>E</w:t>
      </w:r>
      <w:r>
        <w:rPr>
          <w:rFonts w:hint="eastAsia" w:ascii="宋体" w:hAnsi="宋体" w:cs="宋体"/>
          <w:b/>
          <w:bCs/>
          <w:kern w:val="0"/>
          <w:sz w:val="24"/>
          <w:szCs w:val="24"/>
        </w:rPr>
        <w:t>级刊物（含一般学院学报），每篇分值</w:t>
      </w:r>
      <w:r>
        <w:rPr>
          <w:rFonts w:ascii="宋体" w:hAnsi="宋体" w:cs="宋体"/>
          <w:b/>
          <w:bCs/>
          <w:kern w:val="0"/>
          <w:sz w:val="24"/>
          <w:szCs w:val="24"/>
        </w:rPr>
        <w:t>2</w:t>
      </w:r>
      <w:r>
        <w:rPr>
          <w:rFonts w:hint="eastAsia" w:ascii="宋体" w:hAnsi="宋体" w:cs="宋体"/>
          <w:b/>
          <w:bCs/>
          <w:kern w:val="0"/>
          <w:sz w:val="24"/>
          <w:szCs w:val="24"/>
        </w:rPr>
        <w:t>份；</w:t>
      </w:r>
      <w:r>
        <w:rPr>
          <w:rFonts w:ascii="宋体" w:hAnsi="宋体" w:cs="宋体"/>
          <w:b/>
          <w:bCs/>
          <w:kern w:val="0"/>
          <w:sz w:val="24"/>
          <w:szCs w:val="24"/>
        </w:rPr>
        <w:t>F</w:t>
      </w:r>
      <w:r>
        <w:rPr>
          <w:rFonts w:hint="eastAsia" w:ascii="宋体" w:hAnsi="宋体" w:cs="宋体"/>
          <w:b/>
          <w:bCs/>
          <w:kern w:val="0"/>
          <w:sz w:val="24"/>
          <w:szCs w:val="24"/>
        </w:rPr>
        <w:t>级刊物，每篇分值</w:t>
      </w:r>
      <w:r>
        <w:rPr>
          <w:rFonts w:ascii="宋体" w:hAnsi="宋体" w:cs="宋体"/>
          <w:b/>
          <w:bCs/>
          <w:kern w:val="0"/>
          <w:sz w:val="24"/>
          <w:szCs w:val="24"/>
        </w:rPr>
        <w:t>1</w:t>
      </w:r>
      <w:r>
        <w:rPr>
          <w:rFonts w:hint="eastAsia" w:ascii="宋体" w:hAnsi="宋体" w:cs="宋体"/>
          <w:b/>
          <w:bCs/>
          <w:kern w:val="0"/>
          <w:sz w:val="24"/>
          <w:szCs w:val="24"/>
        </w:rPr>
        <w:t>分。</w:t>
      </w:r>
      <w:r>
        <w:rPr>
          <w:rFonts w:ascii="宋体" w:hAnsi="宋体" w:cs="宋体"/>
          <w:b/>
          <w:bCs/>
          <w:kern w:val="0"/>
          <w:sz w:val="24"/>
          <w:szCs w:val="24"/>
        </w:rPr>
        <w:t>E</w:t>
      </w:r>
      <w:r>
        <w:rPr>
          <w:rFonts w:hint="eastAsia" w:ascii="宋体" w:hAnsi="宋体" w:cs="宋体"/>
          <w:b/>
          <w:bCs/>
          <w:kern w:val="0"/>
          <w:sz w:val="24"/>
          <w:szCs w:val="24"/>
        </w:rPr>
        <w:t>、</w:t>
      </w:r>
      <w:r>
        <w:rPr>
          <w:rFonts w:ascii="宋体" w:hAnsi="宋体" w:cs="宋体"/>
          <w:b/>
          <w:bCs/>
          <w:kern w:val="0"/>
          <w:sz w:val="24"/>
          <w:szCs w:val="24"/>
        </w:rPr>
        <w:t>F</w:t>
      </w:r>
      <w:r>
        <w:rPr>
          <w:rFonts w:hint="eastAsia" w:ascii="宋体" w:hAnsi="宋体" w:cs="宋体"/>
          <w:b/>
          <w:bCs/>
          <w:kern w:val="0"/>
          <w:sz w:val="24"/>
          <w:szCs w:val="24"/>
        </w:rPr>
        <w:t>级刊物只计第一作者，字数不满</w:t>
      </w:r>
      <w:r>
        <w:rPr>
          <w:rFonts w:ascii="宋体" w:hAnsi="宋体" w:cs="宋体"/>
          <w:b/>
          <w:bCs/>
          <w:kern w:val="0"/>
          <w:sz w:val="24"/>
          <w:szCs w:val="24"/>
        </w:rPr>
        <w:t>4000</w:t>
      </w:r>
      <w:r>
        <w:rPr>
          <w:rFonts w:hint="eastAsia" w:ascii="宋体" w:hAnsi="宋体" w:cs="宋体"/>
          <w:b/>
          <w:bCs/>
          <w:kern w:val="0"/>
          <w:sz w:val="24"/>
          <w:szCs w:val="24"/>
        </w:rPr>
        <w:t>字，按照</w:t>
      </w:r>
      <w:r>
        <w:rPr>
          <w:rFonts w:ascii="宋体" w:hAnsi="宋体" w:cs="宋体"/>
          <w:b/>
          <w:bCs/>
          <w:kern w:val="0"/>
          <w:sz w:val="24"/>
          <w:szCs w:val="24"/>
        </w:rPr>
        <w:t>80%</w:t>
      </w:r>
      <w:r>
        <w:rPr>
          <w:rFonts w:hint="eastAsia" w:ascii="宋体" w:hAnsi="宋体" w:cs="宋体"/>
          <w:b/>
          <w:bCs/>
          <w:kern w:val="0"/>
          <w:sz w:val="24"/>
          <w:szCs w:val="24"/>
        </w:rPr>
        <w:t>计分。</w:t>
      </w:r>
    </w:p>
    <w:p>
      <w:pPr>
        <w:widowControl/>
        <w:shd w:val="clear" w:color="auto" w:fill="FFFFFF"/>
        <w:snapToGrid w:val="0"/>
        <w:spacing w:line="360" w:lineRule="auto"/>
        <w:ind w:left="44" w:leftChars="21" w:right="45" w:firstLine="472" w:firstLineChars="196"/>
        <w:jc w:val="left"/>
        <w:rPr>
          <w:rFonts w:ascii="宋体" w:cs="宋体"/>
          <w:b/>
          <w:bCs/>
          <w:kern w:val="0"/>
          <w:sz w:val="24"/>
          <w:szCs w:val="24"/>
        </w:rPr>
      </w:pPr>
      <w:r>
        <w:rPr>
          <w:rFonts w:ascii="宋体" w:hAnsi="宋体" w:cs="宋体"/>
          <w:b/>
          <w:bCs/>
          <w:kern w:val="0"/>
          <w:sz w:val="24"/>
          <w:szCs w:val="24"/>
        </w:rPr>
        <w:t xml:space="preserve">5 </w:t>
      </w:r>
      <w:r>
        <w:rPr>
          <w:rFonts w:hint="eastAsia" w:ascii="宋体" w:hAnsi="宋体" w:cs="宋体"/>
          <w:b/>
          <w:bCs/>
          <w:kern w:val="0"/>
          <w:sz w:val="24"/>
          <w:szCs w:val="24"/>
        </w:rPr>
        <w:t>．发表论文进行代表作评价，最高不超过</w:t>
      </w:r>
      <w:r>
        <w:rPr>
          <w:rFonts w:ascii="宋体" w:hAnsi="宋体" w:cs="宋体"/>
          <w:b/>
          <w:bCs/>
          <w:kern w:val="0"/>
          <w:sz w:val="24"/>
          <w:szCs w:val="24"/>
        </w:rPr>
        <w:t xml:space="preserve"> 20 </w:t>
      </w:r>
      <w:r>
        <w:rPr>
          <w:rFonts w:hint="eastAsia" w:ascii="宋体" w:hAnsi="宋体" w:cs="宋体"/>
          <w:b/>
          <w:bCs/>
          <w:kern w:val="0"/>
          <w:sz w:val="24"/>
          <w:szCs w:val="24"/>
        </w:rPr>
        <w:t>分。</w:t>
      </w:r>
    </w:p>
    <w:p>
      <w:pPr>
        <w:widowControl/>
        <w:shd w:val="clear" w:color="auto" w:fill="FFFFFF"/>
        <w:snapToGrid w:val="0"/>
        <w:spacing w:line="360" w:lineRule="auto"/>
        <w:ind w:left="45" w:right="45"/>
        <w:jc w:val="left"/>
        <w:rPr>
          <w:rFonts w:ascii="宋体" w:cs="宋体"/>
          <w:b/>
          <w:bCs/>
          <w:kern w:val="0"/>
          <w:sz w:val="24"/>
          <w:szCs w:val="24"/>
        </w:rPr>
      </w:pPr>
    </w:p>
    <w:tbl>
      <w:tblPr>
        <w:tblStyle w:val="9"/>
        <w:tblW w:w="4545" w:type="dxa"/>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2370"/>
        <w:gridCol w:w="600"/>
        <w:gridCol w:w="495"/>
        <w:gridCol w:w="480"/>
        <w:gridCol w:w="600"/>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rPr>
          <w:tblCellSpacing w:w="0" w:type="dxa"/>
          <w:jc w:val="center"/>
        </w:trPr>
        <w:tc>
          <w:tcPr>
            <w:tcW w:w="0" w:type="auto"/>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论文篇数</w:t>
            </w:r>
          </w:p>
        </w:tc>
        <w:tc>
          <w:tcPr>
            <w:tcW w:w="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1</w:t>
            </w:r>
          </w:p>
        </w:tc>
        <w:tc>
          <w:tcPr>
            <w:tcW w:w="495"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2</w:t>
            </w:r>
          </w:p>
        </w:tc>
        <w:tc>
          <w:tcPr>
            <w:tcW w:w="4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3</w:t>
            </w:r>
          </w:p>
        </w:tc>
        <w:tc>
          <w:tcPr>
            <w:tcW w:w="6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A</w:t>
            </w:r>
            <w:r>
              <w:rPr>
                <w:rFonts w:hint="eastAsia" w:ascii="宋体" w:hAnsi="宋体" w:cs="宋体"/>
                <w:b/>
                <w:bCs/>
                <w:kern w:val="0"/>
                <w:sz w:val="24"/>
                <w:szCs w:val="24"/>
              </w:rPr>
              <w:t>级期刊</w:t>
            </w:r>
          </w:p>
        </w:tc>
        <w:tc>
          <w:tcPr>
            <w:tcW w:w="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20</w:t>
            </w:r>
          </w:p>
        </w:tc>
        <w:tc>
          <w:tcPr>
            <w:tcW w:w="495"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cs="宋体"/>
                <w:b/>
                <w:bCs/>
                <w:kern w:val="0"/>
                <w:sz w:val="24"/>
                <w:szCs w:val="24"/>
              </w:rPr>
              <w:t> </w:t>
            </w:r>
          </w:p>
        </w:tc>
        <w:tc>
          <w:tcPr>
            <w:tcW w:w="4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cs="宋体"/>
                <w:b/>
                <w:bCs/>
                <w:kern w:val="0"/>
                <w:sz w:val="24"/>
                <w:szCs w:val="24"/>
              </w:rPr>
              <w:t> </w:t>
            </w:r>
          </w:p>
        </w:tc>
        <w:tc>
          <w:tcPr>
            <w:tcW w:w="6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B</w:t>
            </w:r>
            <w:r>
              <w:rPr>
                <w:rFonts w:hint="eastAsia" w:ascii="宋体" w:hAnsi="宋体" w:cs="宋体"/>
                <w:b/>
                <w:bCs/>
                <w:kern w:val="0"/>
                <w:sz w:val="24"/>
                <w:szCs w:val="24"/>
              </w:rPr>
              <w:t>级期刊</w:t>
            </w:r>
          </w:p>
        </w:tc>
        <w:tc>
          <w:tcPr>
            <w:tcW w:w="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10</w:t>
            </w:r>
          </w:p>
        </w:tc>
        <w:tc>
          <w:tcPr>
            <w:tcW w:w="495"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20</w:t>
            </w:r>
          </w:p>
        </w:tc>
        <w:tc>
          <w:tcPr>
            <w:tcW w:w="4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cs="宋体"/>
                <w:b/>
                <w:bCs/>
                <w:kern w:val="0"/>
                <w:sz w:val="24"/>
                <w:szCs w:val="24"/>
              </w:rPr>
              <w:t> </w:t>
            </w:r>
          </w:p>
        </w:tc>
        <w:tc>
          <w:tcPr>
            <w:tcW w:w="6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C</w:t>
            </w:r>
            <w:r>
              <w:rPr>
                <w:rFonts w:hint="eastAsia" w:ascii="宋体" w:hAnsi="宋体" w:cs="宋体"/>
                <w:b/>
                <w:bCs/>
                <w:kern w:val="0"/>
                <w:sz w:val="24"/>
                <w:szCs w:val="24"/>
              </w:rPr>
              <w:t>级期刊</w:t>
            </w:r>
          </w:p>
        </w:tc>
        <w:tc>
          <w:tcPr>
            <w:tcW w:w="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6</w:t>
            </w:r>
          </w:p>
        </w:tc>
        <w:tc>
          <w:tcPr>
            <w:tcW w:w="495"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10</w:t>
            </w:r>
          </w:p>
        </w:tc>
        <w:tc>
          <w:tcPr>
            <w:tcW w:w="4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20</w:t>
            </w:r>
          </w:p>
        </w:tc>
        <w:tc>
          <w:tcPr>
            <w:tcW w:w="6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D</w:t>
            </w:r>
            <w:r>
              <w:rPr>
                <w:rFonts w:hint="eastAsia" w:ascii="宋体" w:hAnsi="宋体" w:cs="宋体"/>
                <w:b/>
                <w:bCs/>
                <w:kern w:val="0"/>
                <w:sz w:val="24"/>
                <w:szCs w:val="24"/>
              </w:rPr>
              <w:t>级期刊</w:t>
            </w:r>
          </w:p>
        </w:tc>
        <w:tc>
          <w:tcPr>
            <w:tcW w:w="6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4</w:t>
            </w:r>
          </w:p>
        </w:tc>
        <w:tc>
          <w:tcPr>
            <w:tcW w:w="495"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8</w:t>
            </w:r>
          </w:p>
        </w:tc>
        <w:tc>
          <w:tcPr>
            <w:tcW w:w="4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12</w:t>
            </w:r>
          </w:p>
        </w:tc>
        <w:tc>
          <w:tcPr>
            <w:tcW w:w="6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center"/>
              <w:rPr>
                <w:rFonts w:ascii="宋体" w:cs="宋体"/>
                <w:b/>
                <w:bCs/>
                <w:kern w:val="0"/>
                <w:sz w:val="24"/>
                <w:szCs w:val="24"/>
              </w:rPr>
            </w:pPr>
            <w:r>
              <w:rPr>
                <w:rFonts w:ascii="宋体" w:hAnsi="宋体" w:cs="宋体"/>
                <w:b/>
                <w:bCs/>
                <w:kern w:val="0"/>
                <w:sz w:val="24"/>
                <w:szCs w:val="24"/>
              </w:rPr>
              <w:t>16</w:t>
            </w:r>
          </w:p>
        </w:tc>
      </w:tr>
    </w:tbl>
    <w:p>
      <w:pPr>
        <w:widowControl/>
        <w:shd w:val="clear" w:color="auto" w:fill="FFFFFF"/>
        <w:snapToGrid w:val="0"/>
        <w:spacing w:line="360" w:lineRule="auto"/>
        <w:ind w:right="45"/>
        <w:jc w:val="left"/>
        <w:rPr>
          <w:rFonts w:ascii="Arial" w:hAnsi="Arial" w:cs="Arial"/>
          <w:b/>
          <w:kern w:val="0"/>
          <w:sz w:val="20"/>
          <w:szCs w:val="20"/>
        </w:rPr>
      </w:pPr>
    </w:p>
    <w:p>
      <w:pPr>
        <w:widowControl/>
        <w:shd w:val="clear" w:color="auto" w:fill="FFFFFF"/>
        <w:snapToGrid w:val="0"/>
        <w:spacing w:line="360" w:lineRule="auto"/>
        <w:ind w:firstLine="482" w:firstLineChars="200"/>
        <w:jc w:val="left"/>
        <w:rPr>
          <w:rFonts w:ascii="宋体" w:cs="宋体"/>
          <w:b/>
          <w:kern w:val="0"/>
          <w:sz w:val="24"/>
          <w:szCs w:val="24"/>
        </w:rPr>
      </w:pPr>
      <w:r>
        <w:rPr>
          <w:rFonts w:hint="eastAsia" w:ascii="宋体" w:hAnsi="宋体" w:cs="宋体"/>
          <w:b/>
          <w:bCs/>
          <w:kern w:val="0"/>
          <w:sz w:val="24"/>
          <w:szCs w:val="24"/>
        </w:rPr>
        <w:t>二、专业竞赛计分办法：</w:t>
      </w:r>
    </w:p>
    <w:p>
      <w:pPr>
        <w:widowControl/>
        <w:shd w:val="clear" w:color="auto" w:fill="FFFFFF"/>
        <w:snapToGrid w:val="0"/>
        <w:spacing w:line="360" w:lineRule="auto"/>
        <w:ind w:firstLine="482" w:firstLineChars="200"/>
        <w:jc w:val="left"/>
        <w:rPr>
          <w:rFonts w:ascii="宋体" w:cs="宋体"/>
          <w:b/>
          <w:bCs/>
          <w:kern w:val="0"/>
          <w:sz w:val="24"/>
          <w:szCs w:val="24"/>
        </w:rPr>
      </w:pPr>
      <w:r>
        <w:rPr>
          <w:rFonts w:ascii="宋体" w:hAnsi="宋体" w:cs="宋体"/>
          <w:b/>
          <w:bCs/>
          <w:kern w:val="0"/>
          <w:sz w:val="24"/>
          <w:szCs w:val="24"/>
        </w:rPr>
        <w:t xml:space="preserve">1 </w:t>
      </w:r>
      <w:r>
        <w:rPr>
          <w:rFonts w:hint="eastAsia" w:ascii="宋体" w:hAnsi="宋体" w:cs="宋体"/>
          <w:b/>
          <w:bCs/>
          <w:kern w:val="0"/>
          <w:sz w:val="24"/>
          <w:szCs w:val="24"/>
        </w:rPr>
        <w:t>．竞赛团队或个人应以四川大学为参赛单位；同一竞赛项目只计最高级别且只加一次；不同比赛可累计，最多不超过</w:t>
      </w:r>
      <w:r>
        <w:rPr>
          <w:rFonts w:ascii="宋体" w:hAnsi="宋体" w:cs="宋体"/>
          <w:b/>
          <w:bCs/>
          <w:kern w:val="0"/>
          <w:sz w:val="24"/>
          <w:szCs w:val="24"/>
        </w:rPr>
        <w:t>10</w:t>
      </w:r>
      <w:r>
        <w:rPr>
          <w:rFonts w:hint="eastAsia" w:ascii="宋体" w:hAnsi="宋体" w:cs="宋体"/>
          <w:b/>
          <w:bCs/>
          <w:kern w:val="0"/>
          <w:sz w:val="24"/>
          <w:szCs w:val="24"/>
        </w:rPr>
        <w:t>分。</w:t>
      </w:r>
    </w:p>
    <w:p>
      <w:pPr>
        <w:widowControl/>
        <w:shd w:val="clear" w:color="auto" w:fill="FFFFFF"/>
        <w:snapToGrid w:val="0"/>
        <w:spacing w:line="360" w:lineRule="auto"/>
        <w:ind w:firstLine="482" w:firstLineChars="200"/>
        <w:jc w:val="left"/>
        <w:rPr>
          <w:rFonts w:ascii="宋体" w:cs="宋体"/>
          <w:b/>
          <w:bCs/>
          <w:kern w:val="0"/>
          <w:sz w:val="24"/>
          <w:szCs w:val="24"/>
        </w:rPr>
      </w:pPr>
      <w:r>
        <w:rPr>
          <w:rFonts w:ascii="宋体" w:hAnsi="宋体" w:cs="宋体"/>
          <w:b/>
          <w:bCs/>
          <w:kern w:val="0"/>
          <w:sz w:val="24"/>
          <w:szCs w:val="24"/>
        </w:rPr>
        <w:t xml:space="preserve">2 </w:t>
      </w:r>
      <w:r>
        <w:rPr>
          <w:rFonts w:hint="eastAsia" w:ascii="宋体" w:hAnsi="宋体" w:cs="宋体"/>
          <w:b/>
          <w:bCs/>
          <w:kern w:val="0"/>
          <w:sz w:val="24"/>
          <w:szCs w:val="24"/>
        </w:rPr>
        <w:t>．专业竞赛测评有效范围：由于不同竞赛的名称、权威性、评奖级别的称谓，以及各级别的获奖人数都不尽相同，是否纳入计分范围以及如何计分的最终认定由学院评审专家组作出。</w:t>
      </w:r>
    </w:p>
    <w:p>
      <w:pPr>
        <w:widowControl/>
        <w:shd w:val="clear" w:color="auto" w:fill="FFFFFF"/>
        <w:snapToGrid w:val="0"/>
        <w:spacing w:line="360" w:lineRule="auto"/>
        <w:ind w:firstLine="482" w:firstLineChars="200"/>
        <w:jc w:val="left"/>
        <w:rPr>
          <w:rFonts w:ascii="宋体" w:cs="宋体"/>
          <w:b/>
          <w:bCs/>
          <w:kern w:val="0"/>
          <w:sz w:val="24"/>
          <w:szCs w:val="24"/>
        </w:rPr>
      </w:pPr>
    </w:p>
    <w:tbl>
      <w:tblPr>
        <w:tblStyle w:val="9"/>
        <w:tblW w:w="0" w:type="auto"/>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1785"/>
        <w:gridCol w:w="843"/>
        <w:gridCol w:w="1050"/>
        <w:gridCol w:w="843"/>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奖项等级</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第一位</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第二位</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第三位</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国家一等奖</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10</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9</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8</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国家二等奖</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8</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7</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6</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国家三等奖</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6</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5</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省级一等奖</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4</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3</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省级二等奖</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2</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1.5</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省级三等奖</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0.5</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0.3</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校级二等奖及以上</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0.3</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0.2</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发明创造获得专利者排名前</w:t>
            </w:r>
            <w:r>
              <w:rPr>
                <w:rFonts w:ascii="宋体" w:hAnsi="宋体" w:cs="宋体"/>
                <w:b/>
                <w:bCs/>
                <w:kern w:val="0"/>
                <w:sz w:val="24"/>
                <w:szCs w:val="24"/>
              </w:rPr>
              <w:t>5</w:t>
            </w:r>
            <w:r>
              <w:rPr>
                <w:rFonts w:hint="eastAsia" w:ascii="宋体" w:hAnsi="宋体" w:cs="宋体"/>
                <w:b/>
                <w:bCs/>
                <w:kern w:val="0"/>
                <w:sz w:val="24"/>
                <w:szCs w:val="24"/>
              </w:rPr>
              <w:t>名</w:t>
            </w:r>
          </w:p>
        </w:tc>
        <w:tc>
          <w:tcPr>
            <w:tcW w:w="0" w:type="auto"/>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10</w:t>
            </w:r>
          </w:p>
        </w:tc>
        <w:tc>
          <w:tcPr>
            <w:tcW w:w="105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9</w:t>
            </w:r>
          </w:p>
        </w:tc>
        <w:tc>
          <w:tcPr>
            <w:tcW w:w="0" w:type="auto"/>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8</w:t>
            </w:r>
          </w:p>
        </w:tc>
      </w:tr>
    </w:tbl>
    <w:p>
      <w:pPr>
        <w:widowControl/>
        <w:shd w:val="clear" w:color="auto" w:fill="FFFFFF"/>
        <w:snapToGrid w:val="0"/>
        <w:spacing w:line="360" w:lineRule="auto"/>
        <w:jc w:val="left"/>
        <w:rPr>
          <w:rFonts w:ascii="Arial" w:hAnsi="Arial" w:cs="Arial"/>
          <w:b/>
          <w:kern w:val="0"/>
          <w:sz w:val="20"/>
          <w:szCs w:val="20"/>
        </w:rPr>
      </w:pPr>
    </w:p>
    <w:p>
      <w:pPr>
        <w:widowControl/>
        <w:shd w:val="clear" w:color="auto" w:fill="FFFFFF"/>
        <w:snapToGrid w:val="0"/>
        <w:spacing w:line="360" w:lineRule="auto"/>
        <w:jc w:val="left"/>
        <w:rPr>
          <w:rFonts w:ascii="宋体" w:cs="宋体"/>
          <w:b/>
          <w:bCs/>
          <w:kern w:val="0"/>
          <w:sz w:val="24"/>
          <w:szCs w:val="24"/>
        </w:rPr>
      </w:pPr>
      <w:r>
        <w:rPr>
          <w:rFonts w:ascii="Arial" w:hAnsi="Arial" w:cs="Arial"/>
          <w:b/>
          <w:bCs/>
          <w:kern w:val="0"/>
          <w:sz w:val="20"/>
        </w:rPr>
        <w:t xml:space="preserve">   </w:t>
      </w:r>
      <w:r>
        <w:rPr>
          <w:rFonts w:hint="eastAsia" w:ascii="宋体" w:hAnsi="宋体" w:cs="宋体"/>
          <w:b/>
          <w:bCs/>
          <w:kern w:val="0"/>
          <w:sz w:val="24"/>
          <w:szCs w:val="24"/>
        </w:rPr>
        <w:t>由于全国大学生英语竞赛实质上是在各省比赛，并按照各省参赛人数分配获奖人数，与其他国家级比赛性质不完全相同，且一等奖人数较多，故全国大学生英语竞赛特等奖按省级一等奖第一位计算分值，一等奖按省级一等奖第三位计算分值，二等奖按省级二等奖第三位计算分值，三等奖按省级三等奖第三位计算分值。</w:t>
      </w:r>
    </w:p>
    <w:p>
      <w:pPr>
        <w:widowControl/>
        <w:shd w:val="clear" w:color="auto" w:fill="FFFFFF"/>
        <w:snapToGrid w:val="0"/>
        <w:spacing w:line="360" w:lineRule="auto"/>
        <w:ind w:firstLine="472" w:firstLineChars="196"/>
        <w:jc w:val="left"/>
        <w:rPr>
          <w:rFonts w:ascii="宋体" w:cs="宋体"/>
          <w:b/>
          <w:kern w:val="0"/>
          <w:sz w:val="24"/>
          <w:szCs w:val="24"/>
        </w:rPr>
      </w:pPr>
      <w:r>
        <w:rPr>
          <w:rFonts w:hint="eastAsia" w:ascii="宋体" w:hAnsi="宋体" w:cs="宋体"/>
          <w:b/>
          <w:bCs/>
          <w:kern w:val="0"/>
          <w:sz w:val="24"/>
          <w:szCs w:val="24"/>
        </w:rPr>
        <w:t>三、科研项目计分办法：</w:t>
      </w:r>
    </w:p>
    <w:p>
      <w:pPr>
        <w:widowControl/>
        <w:shd w:val="clear" w:color="auto" w:fill="FFFFFF"/>
        <w:snapToGrid w:val="0"/>
        <w:spacing w:line="360" w:lineRule="auto"/>
        <w:ind w:firstLine="472" w:firstLineChars="196"/>
        <w:jc w:val="left"/>
        <w:rPr>
          <w:rFonts w:ascii="宋体" w:cs="宋体"/>
          <w:b/>
          <w:bCs/>
          <w:kern w:val="0"/>
          <w:sz w:val="24"/>
          <w:szCs w:val="24"/>
        </w:rPr>
      </w:pPr>
      <w:r>
        <w:rPr>
          <w:rFonts w:hint="eastAsia" w:ascii="宋体" w:hAnsi="宋体" w:cs="宋体"/>
          <w:b/>
          <w:bCs/>
          <w:kern w:val="0"/>
          <w:sz w:val="24"/>
          <w:szCs w:val="24"/>
        </w:rPr>
        <w:t>参加科研项目的项目负责人和主研人员可获计分，同一项目只计最高级别且只加一次，不同项目可累计，</w:t>
      </w:r>
      <w:r>
        <w:rPr>
          <w:rFonts w:ascii="宋体" w:hAnsi="宋体" w:cs="宋体"/>
          <w:b/>
          <w:bCs/>
          <w:kern w:val="0"/>
          <w:sz w:val="24"/>
          <w:szCs w:val="24"/>
        </w:rPr>
        <w:t xml:space="preserve"> </w:t>
      </w:r>
      <w:r>
        <w:rPr>
          <w:rFonts w:hint="eastAsia" w:ascii="宋体" w:hAnsi="宋体" w:cs="宋体"/>
          <w:b/>
          <w:bCs/>
          <w:kern w:val="0"/>
          <w:sz w:val="24"/>
          <w:szCs w:val="24"/>
        </w:rPr>
        <w:t>最多不超过</w:t>
      </w:r>
      <w:r>
        <w:rPr>
          <w:rFonts w:ascii="宋体" w:hAnsi="宋体" w:cs="宋体"/>
          <w:b/>
          <w:bCs/>
          <w:kern w:val="0"/>
          <w:sz w:val="24"/>
          <w:szCs w:val="24"/>
        </w:rPr>
        <w:t>10</w:t>
      </w:r>
      <w:r>
        <w:rPr>
          <w:rFonts w:hint="eastAsia" w:ascii="宋体" w:hAnsi="宋体" w:cs="宋体"/>
          <w:b/>
          <w:bCs/>
          <w:kern w:val="0"/>
          <w:sz w:val="24"/>
          <w:szCs w:val="24"/>
        </w:rPr>
        <w:t>分。参加计分的主研人员应是参与了实质性科研工作的学生，需有指导教师和项目负责人的书面证明材料。</w:t>
      </w:r>
    </w:p>
    <w:p>
      <w:pPr>
        <w:widowControl/>
        <w:shd w:val="clear" w:color="auto" w:fill="FFFFFF"/>
        <w:snapToGrid w:val="0"/>
        <w:spacing w:line="360" w:lineRule="auto"/>
        <w:ind w:left="45" w:right="45"/>
        <w:jc w:val="left"/>
        <w:rPr>
          <w:rFonts w:ascii="宋体" w:cs="宋体"/>
          <w:b/>
          <w:bCs/>
          <w:kern w:val="0"/>
          <w:sz w:val="24"/>
          <w:szCs w:val="24"/>
        </w:rPr>
      </w:pPr>
    </w:p>
    <w:tbl>
      <w:tblPr>
        <w:tblStyle w:val="9"/>
        <w:tblW w:w="8655" w:type="dxa"/>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4695"/>
        <w:gridCol w:w="1080"/>
        <w:gridCol w:w="1080"/>
        <w:gridCol w:w="900"/>
        <w:gridCol w:w="900"/>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项目名称（立项）</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负责人</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第一位</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第二位</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第三位</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大学生创新性实验计划项目（国家级）</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2  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0.25      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0.05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大学生创新性实验计划项目（省级）</w:t>
            </w:r>
            <w:r>
              <w:rPr>
                <w:rFonts w:ascii="宋体" w:cs="宋体"/>
                <w:b/>
                <w:bCs/>
                <w:kern w:val="0"/>
                <w:sz w:val="24"/>
                <w:szCs w:val="24"/>
              </w:rPr>
              <w:t>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0.05 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大学生创新性实验计划项目（校级）</w:t>
            </w:r>
            <w:r>
              <w:rPr>
                <w:rFonts w:ascii="宋体" w:cs="宋体"/>
                <w:b/>
                <w:bCs/>
                <w:kern w:val="0"/>
                <w:sz w:val="24"/>
                <w:szCs w:val="24"/>
              </w:rPr>
              <w:t>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0.5   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0.05  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项目名称（结题）</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负责人</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第一位</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第二位</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第三位</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大学生创新性实验计划项目（国家级）</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4</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0.5   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0.2      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大学生创新性实验计划项目（省级）</w:t>
            </w:r>
            <w:r>
              <w:rPr>
                <w:rFonts w:ascii="宋体" w:cs="宋体"/>
                <w:b/>
                <w:bCs/>
                <w:kern w:val="0"/>
                <w:sz w:val="24"/>
                <w:szCs w:val="24"/>
              </w:rPr>
              <w:t>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2</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0.2    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大学生创新性实验计划项目（校级）</w:t>
            </w:r>
            <w:r>
              <w:rPr>
                <w:rFonts w:ascii="宋体" w:cs="宋体"/>
                <w:b/>
                <w:bCs/>
                <w:kern w:val="0"/>
                <w:sz w:val="24"/>
                <w:szCs w:val="24"/>
              </w:rPr>
              <w:t>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项目名称（优秀）</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负责人</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第一位</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第二位</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第三位</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872" w:hRule="atLeast"/>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大学生创新性实验计划项目（国家级）</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6</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0.75    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0.3     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大学生创新性实验计划项目（省级）</w:t>
            </w:r>
            <w:r>
              <w:rPr>
                <w:rFonts w:ascii="宋体" w:cs="宋体"/>
                <w:b/>
                <w:bCs/>
                <w:kern w:val="0"/>
                <w:sz w:val="24"/>
                <w:szCs w:val="24"/>
              </w:rPr>
              <w:t>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3</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0.3    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0.15</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469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大学生创新性实验计划项目（校级）</w:t>
            </w:r>
            <w:r>
              <w:rPr>
                <w:rFonts w:ascii="宋体" w:cs="宋体"/>
                <w:b/>
                <w:bCs/>
                <w:kern w:val="0"/>
                <w:sz w:val="24"/>
                <w:szCs w:val="24"/>
              </w:rPr>
              <w:t>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1.5   </w:t>
            </w:r>
          </w:p>
        </w:tc>
        <w:tc>
          <w:tcPr>
            <w:tcW w:w="108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0.15  </w:t>
            </w:r>
          </w:p>
        </w:tc>
        <w:tc>
          <w:tcPr>
            <w:tcW w:w="9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c>
          <w:tcPr>
            <w:tcW w:w="90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cs="宋体"/>
                <w:b/>
                <w:bCs/>
                <w:kern w:val="0"/>
                <w:sz w:val="24"/>
                <w:szCs w:val="24"/>
              </w:rPr>
              <w:t> </w:t>
            </w:r>
          </w:p>
        </w:tc>
      </w:tr>
    </w:tbl>
    <w:p>
      <w:pPr>
        <w:widowControl/>
        <w:shd w:val="clear" w:color="auto" w:fill="FFFFFF"/>
        <w:snapToGrid w:val="0"/>
        <w:spacing w:line="360" w:lineRule="auto"/>
        <w:jc w:val="left"/>
        <w:rPr>
          <w:rFonts w:ascii="Arial" w:hAnsi="Arial" w:cs="Arial"/>
          <w:b/>
          <w:kern w:val="0"/>
          <w:sz w:val="20"/>
          <w:szCs w:val="20"/>
        </w:rPr>
      </w:pPr>
    </w:p>
    <w:p>
      <w:pPr>
        <w:widowControl/>
        <w:shd w:val="clear" w:color="auto" w:fill="FFFFFF"/>
        <w:snapToGrid w:val="0"/>
        <w:spacing w:line="360" w:lineRule="auto"/>
        <w:ind w:firstLine="482" w:firstLineChars="200"/>
        <w:jc w:val="left"/>
        <w:rPr>
          <w:rFonts w:ascii="宋体" w:cs="宋体"/>
          <w:b/>
          <w:kern w:val="0"/>
          <w:sz w:val="24"/>
          <w:szCs w:val="24"/>
        </w:rPr>
      </w:pPr>
      <w:r>
        <w:rPr>
          <w:rFonts w:hint="eastAsia" w:ascii="宋体" w:hAnsi="宋体" w:cs="宋体"/>
          <w:b/>
          <w:bCs/>
          <w:kern w:val="0"/>
          <w:sz w:val="24"/>
          <w:szCs w:val="24"/>
        </w:rPr>
        <w:t>四、专业证书计分办法：</w:t>
      </w:r>
    </w:p>
    <w:p>
      <w:pPr>
        <w:widowControl/>
        <w:shd w:val="clear" w:color="auto" w:fill="FFFFFF"/>
        <w:snapToGrid w:val="0"/>
        <w:spacing w:line="360" w:lineRule="auto"/>
        <w:ind w:firstLine="482" w:firstLineChars="200"/>
        <w:jc w:val="left"/>
        <w:rPr>
          <w:rFonts w:ascii="宋体" w:cs="宋体"/>
          <w:b/>
          <w:bCs/>
          <w:kern w:val="0"/>
          <w:sz w:val="24"/>
          <w:szCs w:val="24"/>
        </w:rPr>
      </w:pPr>
      <w:r>
        <w:rPr>
          <w:rFonts w:hint="eastAsia" w:ascii="宋体" w:hAnsi="宋体" w:cs="宋体"/>
          <w:b/>
          <w:bCs/>
          <w:kern w:val="0"/>
          <w:sz w:val="24"/>
          <w:szCs w:val="24"/>
        </w:rPr>
        <w:t>获得人事部口笔译二三级证书的可获计分。同时获得口笔译证书的可累计，但同时获得二三级证书的只计二级。最多不超过</w:t>
      </w:r>
      <w:r>
        <w:rPr>
          <w:rFonts w:ascii="宋体" w:hAnsi="宋体" w:cs="宋体"/>
          <w:b/>
          <w:bCs/>
          <w:kern w:val="0"/>
          <w:sz w:val="24"/>
          <w:szCs w:val="24"/>
        </w:rPr>
        <w:t>10</w:t>
      </w:r>
      <w:r>
        <w:rPr>
          <w:rFonts w:hint="eastAsia" w:ascii="宋体" w:hAnsi="宋体" w:cs="宋体"/>
          <w:b/>
          <w:bCs/>
          <w:kern w:val="0"/>
          <w:sz w:val="24"/>
          <w:szCs w:val="24"/>
        </w:rPr>
        <w:t>分。</w:t>
      </w:r>
    </w:p>
    <w:p>
      <w:pPr>
        <w:widowControl/>
        <w:shd w:val="clear" w:color="auto" w:fill="FFFFFF"/>
        <w:snapToGrid w:val="0"/>
        <w:spacing w:line="360" w:lineRule="auto"/>
        <w:ind w:firstLine="482" w:firstLineChars="200"/>
        <w:jc w:val="left"/>
        <w:rPr>
          <w:rFonts w:ascii="宋体" w:cs="宋体"/>
          <w:b/>
          <w:bCs/>
          <w:kern w:val="0"/>
          <w:sz w:val="24"/>
          <w:szCs w:val="24"/>
        </w:rPr>
      </w:pPr>
      <w:r>
        <w:rPr>
          <w:rFonts w:hint="eastAsia" w:ascii="宋体" w:hAnsi="宋体" w:cs="宋体"/>
          <w:b/>
          <w:bCs/>
          <w:kern w:val="0"/>
          <w:sz w:val="24"/>
          <w:szCs w:val="24"/>
        </w:rPr>
        <w:t>其他类型的比赛或创新活动的计分方法由评审专家组集体讨论认定。</w:t>
      </w:r>
    </w:p>
    <w:p>
      <w:pPr>
        <w:widowControl/>
        <w:shd w:val="clear" w:color="auto" w:fill="FFFFFF"/>
        <w:snapToGrid w:val="0"/>
        <w:spacing w:line="360" w:lineRule="auto"/>
        <w:ind w:left="45" w:right="45"/>
        <w:jc w:val="left"/>
        <w:rPr>
          <w:rFonts w:ascii="宋体" w:cs="宋体"/>
          <w:b/>
          <w:bCs/>
          <w:kern w:val="0"/>
          <w:sz w:val="24"/>
          <w:szCs w:val="24"/>
        </w:rPr>
      </w:pPr>
    </w:p>
    <w:tbl>
      <w:tblPr>
        <w:tblStyle w:val="9"/>
        <w:tblW w:w="0" w:type="auto"/>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1785"/>
        <w:gridCol w:w="1050"/>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二级同传</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6</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二级口译</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二级笔译</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三级口译</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三级笔译</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专四</w:t>
            </w:r>
            <w:r>
              <w:rPr>
                <w:rFonts w:ascii="宋体" w:hAnsi="宋体" w:cs="宋体"/>
                <w:b/>
                <w:bCs/>
                <w:kern w:val="0"/>
                <w:sz w:val="24"/>
                <w:szCs w:val="24"/>
              </w:rPr>
              <w:t>85-90</w:t>
            </w:r>
            <w:r>
              <w:rPr>
                <w:rFonts w:hint="eastAsia" w:ascii="宋体" w:hAnsi="宋体" w:cs="宋体"/>
                <w:b/>
                <w:bCs/>
                <w:kern w:val="0"/>
                <w:sz w:val="24"/>
                <w:szCs w:val="24"/>
              </w:rPr>
              <w:t>分</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0.5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1785" w:type="dxa"/>
            <w:tcBorders>
              <w:top w:val="outset" w:color="auto" w:sz="6" w:space="0"/>
              <w:bottom w:val="outset" w:color="auto" w:sz="6" w:space="0"/>
              <w:right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hint="eastAsia" w:ascii="宋体" w:hAnsi="宋体" w:cs="宋体"/>
                <w:b/>
                <w:bCs/>
                <w:kern w:val="0"/>
                <w:sz w:val="24"/>
                <w:szCs w:val="24"/>
              </w:rPr>
              <w:t>专四</w:t>
            </w:r>
            <w:r>
              <w:rPr>
                <w:rFonts w:ascii="宋体" w:hAnsi="宋体" w:cs="宋体"/>
                <w:b/>
                <w:bCs/>
                <w:kern w:val="0"/>
                <w:sz w:val="24"/>
                <w:szCs w:val="24"/>
              </w:rPr>
              <w:t>90</w:t>
            </w:r>
            <w:r>
              <w:rPr>
                <w:rFonts w:hint="eastAsia" w:ascii="宋体" w:hAnsi="宋体" w:cs="宋体"/>
                <w:b/>
                <w:bCs/>
                <w:kern w:val="0"/>
                <w:sz w:val="24"/>
                <w:szCs w:val="24"/>
              </w:rPr>
              <w:t>分以上</w:t>
            </w:r>
          </w:p>
        </w:tc>
        <w:tc>
          <w:tcPr>
            <w:tcW w:w="1050" w:type="dxa"/>
            <w:tcBorders>
              <w:top w:val="outset" w:color="auto" w:sz="6" w:space="0"/>
              <w:left w:val="outset" w:color="auto" w:sz="6" w:space="0"/>
              <w:bottom w:val="outset" w:color="auto" w:sz="6" w:space="0"/>
            </w:tcBorders>
            <w:shd w:val="clear" w:color="auto" w:fill="FFFFFF"/>
            <w:vAlign w:val="center"/>
          </w:tcPr>
          <w:p>
            <w:pPr>
              <w:widowControl/>
              <w:snapToGrid w:val="0"/>
              <w:spacing w:line="360" w:lineRule="auto"/>
              <w:ind w:left="45" w:right="45"/>
              <w:jc w:val="left"/>
              <w:rPr>
                <w:rFonts w:ascii="宋体" w:cs="宋体"/>
                <w:b/>
                <w:bCs/>
                <w:kern w:val="0"/>
                <w:sz w:val="24"/>
                <w:szCs w:val="24"/>
              </w:rPr>
            </w:pPr>
            <w:r>
              <w:rPr>
                <w:rFonts w:ascii="宋体" w:hAnsi="宋体" w:cs="宋体"/>
                <w:b/>
                <w:bCs/>
                <w:kern w:val="0"/>
                <w:sz w:val="24"/>
                <w:szCs w:val="24"/>
              </w:rPr>
              <w:t>1</w:t>
            </w:r>
          </w:p>
        </w:tc>
      </w:tr>
    </w:tbl>
    <w:p>
      <w:pPr>
        <w:widowControl/>
        <w:shd w:val="clear" w:color="auto" w:fill="FFFFFF"/>
        <w:snapToGrid w:val="0"/>
        <w:spacing w:line="360" w:lineRule="auto"/>
        <w:ind w:right="45"/>
        <w:jc w:val="left"/>
        <w:rPr>
          <w:rFonts w:ascii="Arial" w:hAnsi="Arial" w:cs="Arial"/>
          <w:b/>
          <w:kern w:val="0"/>
          <w:sz w:val="20"/>
          <w:szCs w:val="20"/>
        </w:rPr>
      </w:pPr>
    </w:p>
    <w:p>
      <w:pPr>
        <w:widowControl/>
        <w:shd w:val="clear" w:color="auto" w:fill="FFFFFF"/>
        <w:snapToGrid w:val="0"/>
        <w:spacing w:line="360" w:lineRule="auto"/>
        <w:ind w:firstLine="402" w:firstLineChars="200"/>
        <w:jc w:val="left"/>
        <w:rPr>
          <w:rFonts w:ascii="宋体" w:cs="宋体"/>
          <w:b/>
          <w:bCs/>
          <w:kern w:val="0"/>
          <w:sz w:val="24"/>
          <w:szCs w:val="24"/>
        </w:rPr>
      </w:pPr>
      <w:r>
        <w:rPr>
          <w:rFonts w:ascii="Arial" w:hAnsi="Arial" w:cs="Arial"/>
          <w:b/>
          <w:bCs/>
          <w:kern w:val="0"/>
          <w:sz w:val="20"/>
        </w:rPr>
        <w:t xml:space="preserve"> </w:t>
      </w:r>
      <w:r>
        <w:rPr>
          <w:rFonts w:ascii="宋体" w:hAnsi="宋体" w:cs="宋体"/>
          <w:b/>
          <w:bCs/>
          <w:kern w:val="0"/>
          <w:sz w:val="24"/>
          <w:szCs w:val="24"/>
        </w:rPr>
        <w:t xml:space="preserve"> </w:t>
      </w:r>
      <w:r>
        <w:rPr>
          <w:rFonts w:hint="eastAsia" w:ascii="宋体" w:hAnsi="宋体" w:cs="宋体"/>
          <w:b/>
          <w:bCs/>
          <w:kern w:val="0"/>
          <w:sz w:val="24"/>
          <w:szCs w:val="24"/>
        </w:rPr>
        <w:t>如某些项目确能证明申请人科研或专业能力突出，但未在本“办法”中列出的，可向专家审核小组提出申请，并提交相关说明或证明材料，由专家审核小组集体讨论决定是否同意认定及怎样认定。</w:t>
      </w:r>
    </w:p>
    <w:p>
      <w:pPr>
        <w:widowControl/>
        <w:shd w:val="clear" w:color="auto" w:fill="FFFFFF"/>
        <w:snapToGrid w:val="0"/>
        <w:spacing w:line="360" w:lineRule="auto"/>
        <w:ind w:firstLine="482" w:firstLineChars="200"/>
        <w:jc w:val="left"/>
        <w:rPr>
          <w:rFonts w:ascii="宋体" w:cs="宋体"/>
          <w:b/>
          <w:bCs/>
          <w:kern w:val="0"/>
          <w:sz w:val="24"/>
          <w:szCs w:val="24"/>
        </w:rPr>
      </w:pPr>
      <w:r>
        <w:rPr>
          <w:rFonts w:hint="eastAsia" w:ascii="宋体" w:hAnsi="宋体" w:cs="宋体"/>
          <w:b/>
          <w:bCs/>
          <w:kern w:val="0"/>
          <w:sz w:val="24"/>
          <w:szCs w:val="24"/>
        </w:rPr>
        <w:t>所有申请计分的项目均需提供真实证明材料原件及复印件一份。专家审核小组作出予以认定、不予认定，或如何认定的书面决定。如发现在申请过程中弄虚作假，提交不实材料，或在科研成果中出现违反学术规范和学术道德的情况，一律取消推免资格。</w:t>
      </w:r>
    </w:p>
    <w:p>
      <w:pPr>
        <w:widowControl/>
        <w:shd w:val="clear" w:color="auto" w:fill="FFFFFF"/>
        <w:snapToGrid w:val="0"/>
        <w:spacing w:line="360" w:lineRule="auto"/>
        <w:ind w:left="5057" w:leftChars="228" w:hanging="4578" w:hangingChars="1900"/>
        <w:jc w:val="left"/>
        <w:rPr>
          <w:rFonts w:ascii="宋体" w:cs="宋体"/>
          <w:b/>
          <w:bCs/>
          <w:kern w:val="0"/>
          <w:sz w:val="24"/>
          <w:szCs w:val="24"/>
        </w:rPr>
      </w:pPr>
      <w:r>
        <w:rPr>
          <w:rFonts w:hint="eastAsia" w:ascii="宋体" w:hAnsi="宋体" w:cs="宋体"/>
          <w:b/>
          <w:bCs/>
          <w:kern w:val="0"/>
          <w:sz w:val="24"/>
          <w:szCs w:val="24"/>
        </w:rPr>
        <w:t>本办法（试行）自发布之日起执行。未尽事宜由学院评审专家组负责解释。</w:t>
      </w:r>
    </w:p>
    <w:p>
      <w:pPr>
        <w:widowControl/>
        <w:shd w:val="clear" w:color="auto" w:fill="FFFFFF"/>
        <w:snapToGrid w:val="0"/>
        <w:spacing w:line="360" w:lineRule="auto"/>
        <w:ind w:left="45" w:right="45"/>
        <w:jc w:val="right"/>
        <w:rPr>
          <w:rFonts w:ascii="宋体" w:cs="宋体"/>
          <w:b/>
          <w:kern w:val="0"/>
          <w:sz w:val="24"/>
          <w:szCs w:val="24"/>
        </w:rPr>
      </w:pPr>
      <w:r>
        <w:rPr>
          <w:rFonts w:hint="eastAsia" w:ascii="宋体" w:hAnsi="宋体" w:cs="宋体"/>
          <w:b/>
          <w:bCs/>
          <w:kern w:val="0"/>
          <w:sz w:val="24"/>
          <w:szCs w:val="24"/>
        </w:rPr>
        <w:t>四川大学外国语学院</w:t>
      </w:r>
    </w:p>
    <w:p>
      <w:pPr>
        <w:widowControl/>
        <w:shd w:val="clear" w:color="auto" w:fill="FFFFFF"/>
        <w:snapToGrid w:val="0"/>
        <w:spacing w:line="360" w:lineRule="auto"/>
        <w:ind w:left="45" w:right="345"/>
        <w:jc w:val="right"/>
        <w:rPr>
          <w:rFonts w:ascii="宋体" w:cs="宋体"/>
          <w:b/>
          <w:kern w:val="0"/>
          <w:sz w:val="24"/>
          <w:szCs w:val="24"/>
        </w:rPr>
      </w:pPr>
      <w:r>
        <w:rPr>
          <w:rFonts w:ascii="宋体" w:hAnsi="宋体" w:cs="宋体"/>
          <w:b/>
          <w:bCs/>
          <w:kern w:val="0"/>
          <w:sz w:val="24"/>
          <w:szCs w:val="24"/>
        </w:rPr>
        <w:t>2022</w:t>
      </w:r>
      <w:r>
        <w:rPr>
          <w:rFonts w:hint="eastAsia" w:ascii="宋体" w:hAnsi="宋体" w:cs="宋体"/>
          <w:b/>
          <w:bCs/>
          <w:kern w:val="0"/>
          <w:sz w:val="24"/>
          <w:szCs w:val="24"/>
        </w:rPr>
        <w:t>年</w:t>
      </w:r>
      <w:r>
        <w:rPr>
          <w:rFonts w:ascii="宋体" w:hAnsi="宋体" w:cs="宋体"/>
          <w:b/>
          <w:bCs/>
          <w:kern w:val="0"/>
          <w:sz w:val="24"/>
          <w:szCs w:val="24"/>
        </w:rPr>
        <w:t>9</w:t>
      </w:r>
      <w:r>
        <w:rPr>
          <w:rFonts w:hint="eastAsia" w:ascii="宋体" w:hAnsi="宋体" w:cs="宋体"/>
          <w:b/>
          <w:bCs/>
          <w:kern w:val="0"/>
          <w:sz w:val="24"/>
          <w:szCs w:val="24"/>
        </w:rPr>
        <w:t>月</w:t>
      </w:r>
      <w:r>
        <w:rPr>
          <w:rFonts w:ascii="宋体" w:hAnsi="宋体" w:cs="宋体"/>
          <w:b/>
          <w:bCs/>
          <w:kern w:val="0"/>
          <w:sz w:val="24"/>
          <w:szCs w:val="24"/>
        </w:rPr>
        <w:t>11</w:t>
      </w:r>
      <w:r>
        <w:rPr>
          <w:rFonts w:hint="eastAsia" w:ascii="宋体" w:hAnsi="宋体" w:cs="宋体"/>
          <w:b/>
          <w:bCs/>
          <w:kern w:val="0"/>
          <w:sz w:val="24"/>
          <w:szCs w:val="24"/>
        </w:rPr>
        <w:t>日</w:t>
      </w:r>
    </w:p>
    <w:p>
      <w:pPr>
        <w:widowControl/>
        <w:shd w:val="clear" w:color="auto" w:fill="FFFFFF"/>
        <w:snapToGrid w:val="0"/>
        <w:spacing w:line="360" w:lineRule="auto"/>
        <w:rPr>
          <w:rFonts w:ascii="宋体" w:cs="宋体"/>
          <w:b/>
          <w:bCs/>
          <w:kern w:val="0"/>
          <w:sz w:val="30"/>
          <w:szCs w:val="30"/>
        </w:rPr>
      </w:pPr>
    </w:p>
    <w:p>
      <w:pPr>
        <w:widowControl/>
        <w:shd w:val="clear" w:color="auto" w:fill="FFFFFF"/>
        <w:snapToGrid w:val="0"/>
        <w:spacing w:line="360" w:lineRule="auto"/>
        <w:ind w:firstLine="602" w:firstLineChars="200"/>
        <w:jc w:val="center"/>
        <w:rPr>
          <w:rFonts w:ascii="宋体" w:cs="宋体"/>
          <w:b/>
          <w:bCs/>
          <w:kern w:val="0"/>
          <w:sz w:val="30"/>
          <w:szCs w:val="30"/>
        </w:rPr>
      </w:pPr>
      <w:r>
        <w:rPr>
          <w:rFonts w:hint="eastAsia" w:ascii="宋体" w:hAnsi="宋体" w:cs="宋体"/>
          <w:b/>
          <w:bCs/>
          <w:kern w:val="0"/>
          <w:sz w:val="30"/>
          <w:szCs w:val="30"/>
        </w:rPr>
        <w:t>四川大学外国语学院</w:t>
      </w:r>
      <w:r>
        <w:rPr>
          <w:rFonts w:ascii="宋体" w:hAnsi="宋体" w:cs="宋体"/>
          <w:b/>
          <w:bCs/>
          <w:kern w:val="0"/>
          <w:sz w:val="30"/>
          <w:szCs w:val="30"/>
        </w:rPr>
        <w:t>2022</w:t>
      </w:r>
      <w:r>
        <w:rPr>
          <w:rFonts w:hint="eastAsia" w:ascii="宋体" w:hAnsi="宋体" w:cs="宋体"/>
          <w:b/>
          <w:bCs/>
          <w:kern w:val="0"/>
          <w:sz w:val="30"/>
          <w:szCs w:val="30"/>
        </w:rPr>
        <w:t>届推免攻读硕士研究生社会实践和思想品德加分细则</w:t>
      </w:r>
    </w:p>
    <w:p>
      <w:pPr>
        <w:snapToGrid w:val="0"/>
        <w:spacing w:line="360" w:lineRule="auto"/>
        <w:ind w:firstLine="480"/>
      </w:pPr>
      <w:r>
        <w:rPr>
          <w:rFonts w:hint="eastAsia"/>
        </w:rPr>
        <w:t>社会实践成绩（</w:t>
      </w:r>
      <w:r>
        <w:t>4</w:t>
      </w:r>
      <w:r>
        <w:rPr>
          <w:rFonts w:hint="eastAsia"/>
        </w:rPr>
        <w:t>分），详见下表《社会实践加分细则》，思想品德考核成绩（</w:t>
      </w:r>
      <w:r>
        <w:t>1</w:t>
      </w:r>
      <w:r>
        <w:rPr>
          <w:rFonts w:hint="eastAsia"/>
        </w:rPr>
        <w:t>分）按《四川大学外国语学院本科生日常行为表现量化考评实施细则》（简称《量化考核细则》）考核认定，从</w:t>
      </w:r>
      <w:r>
        <w:t>2018</w:t>
      </w:r>
      <w:r>
        <w:rPr>
          <w:rFonts w:hint="eastAsia"/>
        </w:rPr>
        <w:t>级开始执行。</w:t>
      </w:r>
    </w:p>
    <w:p>
      <w:pPr>
        <w:pStyle w:val="2"/>
        <w:snapToGrid w:val="0"/>
        <w:spacing w:after="0" w:line="360" w:lineRule="auto"/>
      </w:pPr>
      <w:r>
        <w:rPr>
          <w:rFonts w:hint="eastAsia"/>
        </w:rPr>
        <w:t>社会实践加分细则</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1396"/>
        <w:gridCol w:w="993"/>
        <w:gridCol w:w="993"/>
        <w:gridCol w:w="993"/>
        <w:gridCol w:w="994"/>
        <w:gridCol w:w="2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726" w:type="dxa"/>
            <w:vMerge w:val="restart"/>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一、各类非学科竞赛获奖</w:t>
            </w: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获奖级别</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特等奖</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一等奖</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二等奖</w:t>
            </w:r>
          </w:p>
        </w:tc>
        <w:tc>
          <w:tcPr>
            <w:tcW w:w="994"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三等奖</w:t>
            </w:r>
          </w:p>
        </w:tc>
        <w:tc>
          <w:tcPr>
            <w:tcW w:w="2965" w:type="dxa"/>
            <w:vMerge w:val="restart"/>
            <w:vAlign w:val="center"/>
          </w:tcPr>
          <w:p>
            <w:pPr>
              <w:pStyle w:val="7"/>
              <w:snapToGrid w:val="0"/>
              <w:spacing w:beforeAutospacing="0" w:after="0" w:afterAutospacing="0" w:line="360" w:lineRule="auto"/>
              <w:ind w:left="45" w:right="45"/>
              <w:rPr>
                <w:color w:val="000000"/>
                <w:sz w:val="21"/>
                <w:szCs w:val="21"/>
              </w:rPr>
            </w:pPr>
            <w:r>
              <w:rPr>
                <w:color w:val="000000"/>
                <w:sz w:val="21"/>
                <w:szCs w:val="21"/>
              </w:rPr>
              <w:t>1</w:t>
            </w:r>
            <w:r>
              <w:rPr>
                <w:rFonts w:hint="eastAsia"/>
                <w:color w:val="000000"/>
                <w:sz w:val="21"/>
                <w:szCs w:val="21"/>
              </w:rPr>
              <w:t>、包括文艺、体育、非外语专业的各类辩论赛、演讲赛及创业竞赛等。</w:t>
            </w:r>
          </w:p>
          <w:p>
            <w:pPr>
              <w:pStyle w:val="7"/>
              <w:snapToGrid w:val="0"/>
              <w:spacing w:beforeAutospacing="0" w:after="0" w:afterAutospacing="0" w:line="360" w:lineRule="auto"/>
              <w:ind w:left="45" w:right="45"/>
              <w:rPr>
                <w:color w:val="000000"/>
                <w:sz w:val="21"/>
                <w:szCs w:val="21"/>
              </w:rPr>
            </w:pPr>
            <w:r>
              <w:rPr>
                <w:color w:val="000000"/>
                <w:sz w:val="21"/>
                <w:szCs w:val="21"/>
              </w:rPr>
              <w:t>2</w:t>
            </w:r>
            <w:r>
              <w:rPr>
                <w:rFonts w:hint="eastAsia"/>
                <w:color w:val="000000"/>
                <w:sz w:val="21"/>
                <w:szCs w:val="21"/>
              </w:rPr>
              <w:t>、同一序列荣誉以最高级别计分。</w:t>
            </w:r>
          </w:p>
          <w:p>
            <w:pPr>
              <w:pStyle w:val="7"/>
              <w:snapToGrid w:val="0"/>
              <w:spacing w:beforeAutospacing="0" w:after="0" w:afterAutospacing="0" w:line="360" w:lineRule="auto"/>
              <w:ind w:left="45" w:right="45"/>
              <w:rPr>
                <w:color w:val="000000"/>
                <w:sz w:val="21"/>
                <w:szCs w:val="21"/>
              </w:rPr>
            </w:pPr>
            <w:r>
              <w:rPr>
                <w:color w:val="000000"/>
                <w:sz w:val="21"/>
                <w:szCs w:val="21"/>
              </w:rPr>
              <w:t>3</w:t>
            </w:r>
            <w:r>
              <w:rPr>
                <w:rFonts w:hint="eastAsia"/>
                <w:color w:val="000000"/>
                <w:sz w:val="21"/>
                <w:szCs w:val="21"/>
              </w:rPr>
              <w:t>、获奖情况须同时提交相应的获奖证明（如获奖证书等）。</w:t>
            </w:r>
          </w:p>
          <w:p>
            <w:pPr>
              <w:pStyle w:val="7"/>
              <w:snapToGrid w:val="0"/>
              <w:spacing w:beforeAutospacing="0" w:after="0" w:afterAutospacing="0" w:line="360" w:lineRule="auto"/>
              <w:ind w:left="45" w:right="45"/>
              <w:rPr>
                <w:color w:val="000000"/>
                <w:sz w:val="21"/>
                <w:szCs w:val="21"/>
              </w:rPr>
            </w:pPr>
            <w:r>
              <w:rPr>
                <w:color w:val="000000"/>
                <w:sz w:val="21"/>
                <w:szCs w:val="21"/>
              </w:rPr>
              <w:t>4</w:t>
            </w:r>
            <w:r>
              <w:rPr>
                <w:rFonts w:hint="eastAsia"/>
                <w:color w:val="000000"/>
                <w:sz w:val="21"/>
                <w:szCs w:val="21"/>
              </w:rPr>
              <w:t>、团队获奖，按等级除以团队总人数，计平均分；如有负责人，负责人按平均分两倍计分；负责人应提供相关证明）。</w:t>
            </w:r>
          </w:p>
          <w:p>
            <w:pPr>
              <w:pStyle w:val="7"/>
              <w:snapToGrid w:val="0"/>
              <w:spacing w:beforeAutospacing="0" w:after="0" w:afterAutospacing="0" w:line="360" w:lineRule="auto"/>
              <w:ind w:left="45" w:right="45"/>
              <w:rPr>
                <w:color w:val="000000"/>
                <w:sz w:val="21"/>
                <w:szCs w:val="21"/>
              </w:rPr>
            </w:pPr>
            <w:r>
              <w:rPr>
                <w:color w:val="000000"/>
                <w:sz w:val="21"/>
                <w:szCs w:val="21"/>
              </w:rPr>
              <w:t>5.</w:t>
            </w:r>
            <w:r>
              <w:rPr>
                <w:rFonts w:hint="eastAsia"/>
                <w:color w:val="000000"/>
                <w:sz w:val="21"/>
                <w:szCs w:val="21"/>
              </w:rPr>
              <w:t>竞赛主办单位为政府机构或事业单位。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国家级奖励</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4</w:t>
            </w:r>
            <w:r>
              <w:rPr>
                <w:rFonts w:hint="eastAsia"/>
                <w:color w:val="000000"/>
                <w:sz w:val="21"/>
                <w:szCs w:val="21"/>
              </w:rPr>
              <w:t>分</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3.8</w:t>
            </w:r>
            <w:r>
              <w:rPr>
                <w:rFonts w:hint="eastAsia"/>
                <w:color w:val="000000"/>
                <w:sz w:val="21"/>
                <w:szCs w:val="21"/>
              </w:rPr>
              <w:t>分</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3.6</w:t>
            </w:r>
            <w:r>
              <w:rPr>
                <w:rFonts w:hint="eastAsia"/>
                <w:color w:val="000000"/>
                <w:sz w:val="21"/>
                <w:szCs w:val="21"/>
              </w:rPr>
              <w:t>分</w:t>
            </w:r>
          </w:p>
        </w:tc>
        <w:tc>
          <w:tcPr>
            <w:tcW w:w="994"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3.4</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省级奖励</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3</w:t>
            </w:r>
            <w:r>
              <w:rPr>
                <w:rFonts w:hint="eastAsia"/>
                <w:color w:val="000000"/>
                <w:sz w:val="21"/>
                <w:szCs w:val="21"/>
              </w:rPr>
              <w:t>分</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2.5</w:t>
            </w:r>
            <w:r>
              <w:rPr>
                <w:rFonts w:hint="eastAsia"/>
                <w:color w:val="000000"/>
                <w:sz w:val="21"/>
                <w:szCs w:val="21"/>
              </w:rPr>
              <w:t>分</w:t>
            </w:r>
          </w:p>
        </w:tc>
        <w:tc>
          <w:tcPr>
            <w:tcW w:w="993"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2</w:t>
            </w:r>
            <w:r>
              <w:rPr>
                <w:rFonts w:hint="eastAsia"/>
                <w:color w:val="000000"/>
                <w:sz w:val="21"/>
                <w:szCs w:val="21"/>
              </w:rPr>
              <w:t>分</w:t>
            </w:r>
          </w:p>
        </w:tc>
        <w:tc>
          <w:tcPr>
            <w:tcW w:w="994" w:type="dxa"/>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1.5</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restart"/>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二、个人荣誉</w:t>
            </w: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国家级社会实践先进个人</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4</w:t>
            </w:r>
            <w:r>
              <w:rPr>
                <w:rFonts w:hint="eastAsia"/>
                <w:color w:val="000000"/>
                <w:sz w:val="21"/>
                <w:szCs w:val="21"/>
              </w:rPr>
              <w:t>分</w:t>
            </w:r>
          </w:p>
        </w:tc>
        <w:tc>
          <w:tcPr>
            <w:tcW w:w="2965" w:type="dxa"/>
            <w:vMerge w:val="restart"/>
            <w:vAlign w:val="center"/>
          </w:tcPr>
          <w:p>
            <w:pPr>
              <w:pStyle w:val="7"/>
              <w:snapToGrid w:val="0"/>
              <w:spacing w:beforeAutospacing="0" w:after="0" w:afterAutospacing="0" w:line="360" w:lineRule="auto"/>
              <w:ind w:left="45" w:right="45"/>
              <w:rPr>
                <w:color w:val="000000"/>
                <w:sz w:val="21"/>
                <w:szCs w:val="21"/>
              </w:rPr>
            </w:pPr>
            <w:r>
              <w:rPr>
                <w:color w:val="000000"/>
                <w:sz w:val="21"/>
                <w:szCs w:val="21"/>
              </w:rPr>
              <w:t>1</w:t>
            </w:r>
            <w:r>
              <w:rPr>
                <w:rFonts w:hint="eastAsia"/>
                <w:color w:val="000000"/>
                <w:sz w:val="21"/>
                <w:szCs w:val="21"/>
              </w:rPr>
              <w:t>、同一序列荣誉以最高级别计分，不同序列的同一级别获奖不重复加分。</w:t>
            </w:r>
          </w:p>
          <w:p>
            <w:pPr>
              <w:pStyle w:val="7"/>
              <w:snapToGrid w:val="0"/>
              <w:spacing w:beforeAutospacing="0" w:after="0" w:afterAutospacing="0" w:line="360" w:lineRule="auto"/>
              <w:ind w:left="45" w:right="45"/>
              <w:rPr>
                <w:color w:val="000000"/>
                <w:sz w:val="21"/>
                <w:szCs w:val="21"/>
              </w:rPr>
            </w:pPr>
            <w:r>
              <w:rPr>
                <w:color w:val="000000"/>
                <w:sz w:val="21"/>
                <w:szCs w:val="21"/>
              </w:rPr>
              <w:t>2</w:t>
            </w:r>
            <w:r>
              <w:rPr>
                <w:rFonts w:hint="eastAsia"/>
                <w:color w:val="000000"/>
                <w:sz w:val="21"/>
                <w:szCs w:val="21"/>
              </w:rPr>
              <w:t>、获奖情况须同时提交相应的获奖证明（如获奖证书等）。</w:t>
            </w:r>
          </w:p>
          <w:p>
            <w:pPr>
              <w:pStyle w:val="7"/>
              <w:snapToGrid w:val="0"/>
              <w:spacing w:beforeAutospacing="0" w:after="0" w:afterAutospacing="0" w:line="360" w:lineRule="auto"/>
              <w:ind w:left="45" w:right="45"/>
              <w:rPr>
                <w:color w:val="000000"/>
                <w:sz w:val="21"/>
                <w:szCs w:val="21"/>
              </w:rPr>
            </w:pPr>
            <w:r>
              <w:rPr>
                <w:color w:val="000000"/>
                <w:sz w:val="21"/>
                <w:szCs w:val="21"/>
              </w:rPr>
              <w:t>3</w:t>
            </w:r>
            <w:r>
              <w:rPr>
                <w:rFonts w:hint="eastAsia"/>
                <w:color w:val="000000"/>
                <w:sz w:val="21"/>
                <w:szCs w:val="21"/>
              </w:rPr>
              <w:t>、个人荣誉加分不包括各类奖学金。</w:t>
            </w:r>
          </w:p>
          <w:p>
            <w:pPr>
              <w:pStyle w:val="7"/>
              <w:snapToGrid w:val="0"/>
              <w:spacing w:beforeAutospacing="0" w:after="0" w:afterAutospacing="0" w:line="360" w:lineRule="auto"/>
              <w:ind w:left="45" w:right="45"/>
              <w:rPr>
                <w:color w:val="000000"/>
                <w:sz w:val="21"/>
                <w:szCs w:val="21"/>
              </w:rPr>
            </w:pPr>
            <w:r>
              <w:rPr>
                <w:color w:val="000000"/>
                <w:sz w:val="21"/>
                <w:szCs w:val="21"/>
              </w:rPr>
              <w:t>4</w:t>
            </w:r>
            <w:r>
              <w:rPr>
                <w:rFonts w:hint="eastAsia"/>
                <w:color w:val="000000"/>
                <w:sz w:val="21"/>
                <w:szCs w:val="21"/>
              </w:rPr>
              <w:t>、优秀志愿者获奖分值单列，和先进个人属于同一加分序列的，同样就高不就低，不与先进个人累计加分。</w:t>
            </w:r>
          </w:p>
          <w:p>
            <w:pPr>
              <w:pStyle w:val="7"/>
              <w:snapToGrid w:val="0"/>
              <w:spacing w:beforeAutospacing="0" w:after="0" w:afterAutospacing="0" w:line="360" w:lineRule="auto"/>
              <w:ind w:left="45" w:right="45"/>
              <w:rPr>
                <w:color w:val="000000"/>
                <w:sz w:val="21"/>
                <w:szCs w:val="21"/>
              </w:rPr>
            </w:pPr>
            <w:r>
              <w:rPr>
                <w:color w:val="000000"/>
                <w:sz w:val="21"/>
                <w:szCs w:val="21"/>
              </w:rPr>
              <w:t>5</w:t>
            </w:r>
            <w:r>
              <w:rPr>
                <w:rFonts w:hint="eastAsia"/>
                <w:color w:val="000000"/>
                <w:sz w:val="21"/>
                <w:szCs w:val="21"/>
              </w:rPr>
              <w:t>、活动主办单位为政府机构或事业单位。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省级社会实践先进个人</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2.5</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副省级市社会实践先进个人</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1.5</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校级、地级市社会实践先进个人</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0.5</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restart"/>
            <w:vAlign w:val="center"/>
          </w:tcPr>
          <w:p>
            <w:pPr>
              <w:snapToGrid w:val="0"/>
              <w:spacing w:line="360" w:lineRule="auto"/>
              <w:jc w:val="center"/>
              <w:rPr>
                <w:rFonts w:cs="宋体"/>
                <w:color w:val="000000"/>
                <w:szCs w:val="21"/>
              </w:rPr>
            </w:pPr>
            <w:r>
              <w:rPr>
                <w:rFonts w:hint="eastAsia" w:cs="宋体"/>
                <w:color w:val="000000"/>
                <w:szCs w:val="21"/>
              </w:rPr>
              <w:t>二、志愿活动</w:t>
            </w: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bCs/>
                <w:color w:val="000000"/>
                <w:sz w:val="21"/>
                <w:szCs w:val="21"/>
              </w:rPr>
              <w:t>国家级活动志愿者</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1.5</w:t>
            </w:r>
            <w:r>
              <w:rPr>
                <w:rFonts w:hint="eastAsia"/>
                <w:color w:val="000000"/>
                <w:sz w:val="21"/>
                <w:szCs w:val="21"/>
              </w:rPr>
              <w:t>分</w:t>
            </w:r>
          </w:p>
        </w:tc>
        <w:tc>
          <w:tcPr>
            <w:tcW w:w="2965" w:type="dxa"/>
            <w:vMerge w:val="restart"/>
            <w:vAlign w:val="center"/>
          </w:tcPr>
          <w:p>
            <w:pPr>
              <w:pStyle w:val="7"/>
              <w:snapToGrid w:val="0"/>
              <w:spacing w:beforeAutospacing="0" w:after="0" w:afterAutospacing="0" w:line="360" w:lineRule="auto"/>
              <w:ind w:left="45" w:right="45"/>
              <w:rPr>
                <w:color w:val="000000"/>
                <w:sz w:val="21"/>
                <w:szCs w:val="21"/>
              </w:rPr>
            </w:pPr>
            <w:r>
              <w:rPr>
                <w:color w:val="000000"/>
                <w:sz w:val="21"/>
                <w:szCs w:val="21"/>
              </w:rPr>
              <w:t>1.</w:t>
            </w:r>
            <w:r>
              <w:rPr>
                <w:rFonts w:hint="eastAsia"/>
                <w:color w:val="000000"/>
                <w:sz w:val="21"/>
                <w:szCs w:val="21"/>
              </w:rPr>
              <w:t>志愿者累计最高加分</w:t>
            </w:r>
            <w:r>
              <w:rPr>
                <w:color w:val="000000"/>
                <w:sz w:val="21"/>
                <w:szCs w:val="21"/>
              </w:rPr>
              <w:t>2.5</w:t>
            </w:r>
            <w:r>
              <w:rPr>
                <w:rFonts w:hint="eastAsia"/>
                <w:color w:val="000000"/>
                <w:sz w:val="21"/>
                <w:szCs w:val="21"/>
              </w:rPr>
              <w:t>分。</w:t>
            </w:r>
          </w:p>
          <w:p>
            <w:pPr>
              <w:pStyle w:val="7"/>
              <w:snapToGrid w:val="0"/>
              <w:spacing w:beforeAutospacing="0" w:after="0" w:afterAutospacing="0" w:line="360" w:lineRule="auto"/>
              <w:ind w:left="45" w:right="45"/>
              <w:rPr>
                <w:color w:val="000000"/>
                <w:sz w:val="21"/>
                <w:szCs w:val="21"/>
              </w:rPr>
            </w:pPr>
            <w:r>
              <w:rPr>
                <w:color w:val="000000"/>
                <w:sz w:val="21"/>
                <w:szCs w:val="21"/>
              </w:rPr>
              <w:t>2.</w:t>
            </w:r>
            <w:r>
              <w:rPr>
                <w:rFonts w:hint="eastAsia"/>
                <w:color w:val="000000"/>
                <w:sz w:val="21"/>
                <w:szCs w:val="21"/>
              </w:rPr>
              <w:t>市级及以上志愿者活动，参与志愿时长需超过</w:t>
            </w:r>
            <w:r>
              <w:rPr>
                <w:color w:val="000000"/>
                <w:sz w:val="21"/>
                <w:szCs w:val="21"/>
              </w:rPr>
              <w:t>20</w:t>
            </w:r>
            <w:r>
              <w:rPr>
                <w:rFonts w:hint="eastAsia"/>
                <w:color w:val="000000"/>
                <w:sz w:val="21"/>
                <w:szCs w:val="21"/>
              </w:rPr>
              <w:t>小时或</w:t>
            </w:r>
            <w:r>
              <w:rPr>
                <w:color w:val="000000"/>
                <w:sz w:val="21"/>
                <w:szCs w:val="21"/>
              </w:rPr>
              <w:t>5</w:t>
            </w:r>
            <w:r>
              <w:rPr>
                <w:rFonts w:hint="eastAsia"/>
                <w:color w:val="000000"/>
                <w:sz w:val="21"/>
                <w:szCs w:val="21"/>
              </w:rPr>
              <w:t>天；校级必须为优秀志愿者。</w:t>
            </w:r>
          </w:p>
          <w:p>
            <w:pPr>
              <w:pStyle w:val="7"/>
              <w:snapToGrid w:val="0"/>
              <w:spacing w:beforeAutospacing="0" w:after="0" w:afterAutospacing="0" w:line="360" w:lineRule="auto"/>
              <w:ind w:left="45" w:right="45"/>
              <w:rPr>
                <w:color w:val="000000"/>
                <w:sz w:val="21"/>
                <w:szCs w:val="21"/>
              </w:rPr>
            </w:pPr>
            <w:r>
              <w:rPr>
                <w:color w:val="000000"/>
                <w:sz w:val="21"/>
                <w:szCs w:val="21"/>
              </w:rPr>
              <w:t>3.</w:t>
            </w:r>
            <w:r>
              <w:rPr>
                <w:rFonts w:hint="eastAsia"/>
                <w:color w:val="000000"/>
                <w:sz w:val="21"/>
                <w:szCs w:val="21"/>
              </w:rPr>
              <w:t>活动主办单位为政府权威部门、重大活动组委会、学校颁发等。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省</w:t>
            </w:r>
            <w:r>
              <w:rPr>
                <w:rFonts w:hint="eastAsia"/>
                <w:bCs/>
                <w:color w:val="000000"/>
                <w:sz w:val="21"/>
                <w:szCs w:val="21"/>
              </w:rPr>
              <w:t>级活动志愿者</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1</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市</w:t>
            </w:r>
            <w:r>
              <w:rPr>
                <w:rFonts w:hint="eastAsia"/>
                <w:bCs/>
                <w:color w:val="000000"/>
                <w:sz w:val="21"/>
                <w:szCs w:val="21"/>
              </w:rPr>
              <w:t>级活动志愿者</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0.5</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26" w:type="dxa"/>
            <w:vMerge w:val="continue"/>
            <w:vAlign w:val="center"/>
          </w:tcPr>
          <w:p>
            <w:pPr>
              <w:snapToGrid w:val="0"/>
              <w:spacing w:line="360" w:lineRule="auto"/>
              <w:jc w:val="center"/>
              <w:rPr>
                <w:rFonts w:cs="宋体"/>
                <w:color w:val="000000"/>
                <w:szCs w:val="21"/>
              </w:rPr>
            </w:pPr>
          </w:p>
        </w:tc>
        <w:tc>
          <w:tcPr>
            <w:tcW w:w="139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校级志愿服务活动优秀志愿者</w:t>
            </w:r>
          </w:p>
        </w:tc>
        <w:tc>
          <w:tcPr>
            <w:tcW w:w="3973" w:type="dxa"/>
            <w:gridSpan w:val="4"/>
            <w:vAlign w:val="center"/>
          </w:tcPr>
          <w:p>
            <w:pPr>
              <w:pStyle w:val="7"/>
              <w:snapToGrid w:val="0"/>
              <w:spacing w:beforeAutospacing="0" w:after="0" w:afterAutospacing="0" w:line="360" w:lineRule="auto"/>
              <w:ind w:left="45" w:right="45"/>
              <w:jc w:val="center"/>
              <w:rPr>
                <w:color w:val="000000"/>
                <w:sz w:val="21"/>
                <w:szCs w:val="21"/>
              </w:rPr>
            </w:pPr>
            <w:r>
              <w:rPr>
                <w:color w:val="000000"/>
                <w:sz w:val="21"/>
                <w:szCs w:val="21"/>
              </w:rPr>
              <w:t>0.5</w:t>
            </w:r>
            <w:r>
              <w:rPr>
                <w:rFonts w:hint="eastAsia"/>
                <w:color w:val="000000"/>
                <w:sz w:val="21"/>
                <w:szCs w:val="21"/>
              </w:rPr>
              <w:t>分</w:t>
            </w:r>
          </w:p>
        </w:tc>
        <w:tc>
          <w:tcPr>
            <w:tcW w:w="2965" w:type="dxa"/>
            <w:vMerge w:val="continue"/>
          </w:tcPr>
          <w:p>
            <w:pPr>
              <w:snapToGrid w:val="0"/>
              <w:spacing w:line="360" w:lineRule="auto"/>
              <w:rPr>
                <w:rFonts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26" w:type="dxa"/>
            <w:vAlign w:val="center"/>
          </w:tcPr>
          <w:p>
            <w:pPr>
              <w:pStyle w:val="7"/>
              <w:snapToGrid w:val="0"/>
              <w:spacing w:beforeAutospacing="0" w:after="0" w:afterAutospacing="0" w:line="360" w:lineRule="auto"/>
              <w:ind w:left="45" w:right="45"/>
              <w:jc w:val="center"/>
              <w:rPr>
                <w:color w:val="000000"/>
                <w:sz w:val="21"/>
                <w:szCs w:val="21"/>
              </w:rPr>
            </w:pPr>
            <w:r>
              <w:rPr>
                <w:rFonts w:hint="eastAsia"/>
                <w:color w:val="000000"/>
                <w:sz w:val="21"/>
                <w:szCs w:val="21"/>
              </w:rPr>
              <w:t>备注</w:t>
            </w:r>
          </w:p>
        </w:tc>
        <w:tc>
          <w:tcPr>
            <w:tcW w:w="8334" w:type="dxa"/>
            <w:gridSpan w:val="6"/>
          </w:tcPr>
          <w:p>
            <w:pPr>
              <w:pStyle w:val="7"/>
              <w:snapToGrid w:val="0"/>
              <w:spacing w:beforeAutospacing="0" w:after="0" w:afterAutospacing="0" w:line="360" w:lineRule="auto"/>
              <w:ind w:left="45" w:right="45"/>
              <w:rPr>
                <w:color w:val="000000"/>
                <w:sz w:val="21"/>
                <w:szCs w:val="21"/>
              </w:rPr>
            </w:pPr>
            <w:r>
              <w:rPr>
                <w:rFonts w:hint="eastAsia"/>
                <w:color w:val="000000"/>
                <w:sz w:val="21"/>
                <w:szCs w:val="21"/>
              </w:rPr>
              <w:t>三项累计加分不超过</w:t>
            </w:r>
            <w:r>
              <w:rPr>
                <w:color w:val="000000"/>
                <w:sz w:val="21"/>
                <w:szCs w:val="21"/>
              </w:rPr>
              <w:t>4</w:t>
            </w:r>
            <w:r>
              <w:rPr>
                <w:rFonts w:hint="eastAsia"/>
                <w:color w:val="000000"/>
                <w:sz w:val="21"/>
                <w:szCs w:val="21"/>
              </w:rPr>
              <w:t>分；四川省综合素质</w:t>
            </w:r>
            <w:r>
              <w:rPr>
                <w:color w:val="000000"/>
                <w:sz w:val="21"/>
                <w:szCs w:val="21"/>
              </w:rPr>
              <w:t>A</w:t>
            </w:r>
            <w:r>
              <w:rPr>
                <w:rFonts w:hint="eastAsia"/>
                <w:color w:val="000000"/>
                <w:sz w:val="21"/>
                <w:szCs w:val="21"/>
              </w:rPr>
              <w:t>级证书获得者按照参评该奖项的项目情况比照以上三项内容进行加分，就高不就低，不累计和重复加分。由于不同竞赛、荣誉的名称、权威性、评奖级别的划定，以及各级别的获奖人数都不尽相同，是否纳入计分范围以及如何计分、对存在异议项目的审议及最终认定由学院推免研究生工作小组作出。</w:t>
            </w:r>
          </w:p>
        </w:tc>
      </w:tr>
    </w:tbl>
    <w:p>
      <w:pPr>
        <w:widowControl/>
        <w:shd w:val="clear" w:color="auto" w:fill="FFFFFF"/>
        <w:snapToGrid w:val="0"/>
        <w:spacing w:line="360" w:lineRule="auto"/>
        <w:ind w:left="45" w:right="45"/>
        <w:jc w:val="right"/>
        <w:rPr>
          <w:rFonts w:ascii="宋体" w:cs="宋体"/>
          <w:b/>
          <w:kern w:val="0"/>
          <w:sz w:val="24"/>
          <w:szCs w:val="24"/>
        </w:rPr>
      </w:pPr>
      <w:r>
        <w:rPr>
          <w:rFonts w:hint="eastAsia" w:ascii="宋体" w:hAnsi="宋体" w:cs="宋体"/>
          <w:b/>
          <w:bCs/>
          <w:kern w:val="0"/>
          <w:sz w:val="24"/>
          <w:szCs w:val="24"/>
        </w:rPr>
        <w:t>四川大学外国语学院</w:t>
      </w:r>
    </w:p>
    <w:p>
      <w:pPr>
        <w:widowControl/>
        <w:shd w:val="clear" w:color="auto" w:fill="FFFFFF"/>
        <w:snapToGrid w:val="0"/>
        <w:spacing w:line="360" w:lineRule="auto"/>
        <w:ind w:left="45" w:right="345"/>
        <w:jc w:val="right"/>
        <w:rPr>
          <w:rFonts w:ascii="宋体" w:cs="宋体"/>
          <w:b/>
          <w:kern w:val="0"/>
          <w:sz w:val="24"/>
          <w:szCs w:val="24"/>
        </w:rPr>
      </w:pPr>
      <w:bookmarkStart w:id="1" w:name="_GoBack"/>
      <w:bookmarkEnd w:id="1"/>
      <w:r>
        <w:rPr>
          <w:rFonts w:ascii="宋体" w:hAnsi="宋体" w:cs="宋体"/>
          <w:b/>
          <w:bCs/>
          <w:kern w:val="0"/>
          <w:sz w:val="24"/>
          <w:szCs w:val="24"/>
        </w:rPr>
        <w:t>2022</w:t>
      </w:r>
      <w:r>
        <w:rPr>
          <w:rFonts w:hint="eastAsia" w:ascii="宋体" w:hAnsi="宋体" w:cs="宋体"/>
          <w:b/>
          <w:bCs/>
          <w:kern w:val="0"/>
          <w:sz w:val="24"/>
          <w:szCs w:val="24"/>
        </w:rPr>
        <w:t>年</w:t>
      </w:r>
      <w:r>
        <w:rPr>
          <w:rFonts w:ascii="宋体" w:hAnsi="宋体" w:cs="宋体"/>
          <w:b/>
          <w:bCs/>
          <w:kern w:val="0"/>
          <w:sz w:val="24"/>
          <w:szCs w:val="24"/>
        </w:rPr>
        <w:t>9</w:t>
      </w:r>
      <w:r>
        <w:rPr>
          <w:rFonts w:hint="eastAsia" w:ascii="宋体" w:hAnsi="宋体" w:cs="宋体"/>
          <w:b/>
          <w:bCs/>
          <w:kern w:val="0"/>
          <w:sz w:val="24"/>
          <w:szCs w:val="24"/>
        </w:rPr>
        <w:t>月</w:t>
      </w:r>
      <w:r>
        <w:rPr>
          <w:rFonts w:ascii="宋体" w:hAnsi="宋体" w:cs="宋体"/>
          <w:b/>
          <w:bCs/>
          <w:kern w:val="0"/>
          <w:sz w:val="24"/>
          <w:szCs w:val="24"/>
        </w:rPr>
        <w:t>11</w:t>
      </w:r>
      <w:r>
        <w:rPr>
          <w:rFonts w:hint="eastAsia" w:ascii="宋体" w:hAnsi="宋体" w:cs="宋体"/>
          <w:b/>
          <w:bCs/>
          <w:kern w:val="0"/>
          <w:sz w:val="24"/>
          <w:szCs w:val="24"/>
        </w:rPr>
        <w:t>日</w:t>
      </w:r>
    </w:p>
    <w:sectPr>
      <w:pgSz w:w="11906" w:h="16838"/>
      <w:pgMar w:top="1134" w:right="1021" w:bottom="907" w:left="102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Q1ZjQ3OTJhOTk3M2FiNjEyZjYxMGQ0NGMwZTRjNDIifQ=="/>
  </w:docVars>
  <w:rsids>
    <w:rsidRoot w:val="00B30CD0"/>
    <w:rsid w:val="00035F85"/>
    <w:rsid w:val="00041B54"/>
    <w:rsid w:val="00065AEC"/>
    <w:rsid w:val="00066580"/>
    <w:rsid w:val="000812BD"/>
    <w:rsid w:val="00087709"/>
    <w:rsid w:val="000A049B"/>
    <w:rsid w:val="000A50F2"/>
    <w:rsid w:val="000B1E9B"/>
    <w:rsid w:val="000B38AA"/>
    <w:rsid w:val="000B6297"/>
    <w:rsid w:val="000B75E7"/>
    <w:rsid w:val="000E40F7"/>
    <w:rsid w:val="000F063B"/>
    <w:rsid w:val="000F5A02"/>
    <w:rsid w:val="000F7C3D"/>
    <w:rsid w:val="00111A84"/>
    <w:rsid w:val="00115C18"/>
    <w:rsid w:val="001205EB"/>
    <w:rsid w:val="00170453"/>
    <w:rsid w:val="001734E3"/>
    <w:rsid w:val="00181C75"/>
    <w:rsid w:val="001873F1"/>
    <w:rsid w:val="00187740"/>
    <w:rsid w:val="001A26BE"/>
    <w:rsid w:val="001B0BCE"/>
    <w:rsid w:val="001B408A"/>
    <w:rsid w:val="001C0BD8"/>
    <w:rsid w:val="001D4739"/>
    <w:rsid w:val="001D58F8"/>
    <w:rsid w:val="001F5C7D"/>
    <w:rsid w:val="00225D5A"/>
    <w:rsid w:val="00235552"/>
    <w:rsid w:val="00255F03"/>
    <w:rsid w:val="00270E8B"/>
    <w:rsid w:val="00281E9D"/>
    <w:rsid w:val="00286B48"/>
    <w:rsid w:val="002954AA"/>
    <w:rsid w:val="00297ACF"/>
    <w:rsid w:val="002A6F38"/>
    <w:rsid w:val="002A712D"/>
    <w:rsid w:val="002B4DB3"/>
    <w:rsid w:val="002B6B7E"/>
    <w:rsid w:val="003018E3"/>
    <w:rsid w:val="00310D32"/>
    <w:rsid w:val="003143DE"/>
    <w:rsid w:val="00340CDC"/>
    <w:rsid w:val="00354A05"/>
    <w:rsid w:val="00362F51"/>
    <w:rsid w:val="00364297"/>
    <w:rsid w:val="0037076B"/>
    <w:rsid w:val="00383175"/>
    <w:rsid w:val="00386B53"/>
    <w:rsid w:val="003E0CAD"/>
    <w:rsid w:val="003E287D"/>
    <w:rsid w:val="003E7569"/>
    <w:rsid w:val="003F0E7B"/>
    <w:rsid w:val="00413A08"/>
    <w:rsid w:val="00422106"/>
    <w:rsid w:val="00427B3C"/>
    <w:rsid w:val="00427EF7"/>
    <w:rsid w:val="00450949"/>
    <w:rsid w:val="00451F10"/>
    <w:rsid w:val="00463518"/>
    <w:rsid w:val="00467D3B"/>
    <w:rsid w:val="00481A6A"/>
    <w:rsid w:val="004912F0"/>
    <w:rsid w:val="00495FAE"/>
    <w:rsid w:val="004A2636"/>
    <w:rsid w:val="004A5A5B"/>
    <w:rsid w:val="004D36FB"/>
    <w:rsid w:val="004E7DC3"/>
    <w:rsid w:val="004F1A96"/>
    <w:rsid w:val="0050031C"/>
    <w:rsid w:val="0052150C"/>
    <w:rsid w:val="00522E86"/>
    <w:rsid w:val="00523B15"/>
    <w:rsid w:val="00554C31"/>
    <w:rsid w:val="005778B9"/>
    <w:rsid w:val="005873D0"/>
    <w:rsid w:val="00587E62"/>
    <w:rsid w:val="005A530D"/>
    <w:rsid w:val="005B19B7"/>
    <w:rsid w:val="005B4987"/>
    <w:rsid w:val="005C68C9"/>
    <w:rsid w:val="005C7747"/>
    <w:rsid w:val="005D74C1"/>
    <w:rsid w:val="005E343C"/>
    <w:rsid w:val="005F1BBC"/>
    <w:rsid w:val="00600734"/>
    <w:rsid w:val="00617500"/>
    <w:rsid w:val="00620BA4"/>
    <w:rsid w:val="0064301B"/>
    <w:rsid w:val="00667008"/>
    <w:rsid w:val="00672A18"/>
    <w:rsid w:val="006828B2"/>
    <w:rsid w:val="006A6A8B"/>
    <w:rsid w:val="006B4D8D"/>
    <w:rsid w:val="006B6D6E"/>
    <w:rsid w:val="006C7320"/>
    <w:rsid w:val="006E4386"/>
    <w:rsid w:val="006E6A75"/>
    <w:rsid w:val="006E6C64"/>
    <w:rsid w:val="007211B0"/>
    <w:rsid w:val="00725AE4"/>
    <w:rsid w:val="00730FDD"/>
    <w:rsid w:val="00762101"/>
    <w:rsid w:val="007831E2"/>
    <w:rsid w:val="007B0CEC"/>
    <w:rsid w:val="007C4863"/>
    <w:rsid w:val="007D21F3"/>
    <w:rsid w:val="007E1954"/>
    <w:rsid w:val="007E5581"/>
    <w:rsid w:val="007E652D"/>
    <w:rsid w:val="007F75F7"/>
    <w:rsid w:val="008058F1"/>
    <w:rsid w:val="008119E7"/>
    <w:rsid w:val="0083666B"/>
    <w:rsid w:val="0084018F"/>
    <w:rsid w:val="008407BF"/>
    <w:rsid w:val="00845DA1"/>
    <w:rsid w:val="00850DD3"/>
    <w:rsid w:val="00851B5C"/>
    <w:rsid w:val="00853328"/>
    <w:rsid w:val="00853911"/>
    <w:rsid w:val="00853A9C"/>
    <w:rsid w:val="008604EB"/>
    <w:rsid w:val="00891EA8"/>
    <w:rsid w:val="00896CF1"/>
    <w:rsid w:val="008B7546"/>
    <w:rsid w:val="008D2BF1"/>
    <w:rsid w:val="008D6F56"/>
    <w:rsid w:val="008E3DBD"/>
    <w:rsid w:val="009062CC"/>
    <w:rsid w:val="00923C9B"/>
    <w:rsid w:val="009314F4"/>
    <w:rsid w:val="00947A67"/>
    <w:rsid w:val="009A5414"/>
    <w:rsid w:val="009C0BAE"/>
    <w:rsid w:val="009C6600"/>
    <w:rsid w:val="009E44FC"/>
    <w:rsid w:val="009E4EFE"/>
    <w:rsid w:val="009E6158"/>
    <w:rsid w:val="009F4036"/>
    <w:rsid w:val="009F60D6"/>
    <w:rsid w:val="00A06443"/>
    <w:rsid w:val="00A10713"/>
    <w:rsid w:val="00A11B3C"/>
    <w:rsid w:val="00A140C0"/>
    <w:rsid w:val="00A21EDE"/>
    <w:rsid w:val="00A327E9"/>
    <w:rsid w:val="00A44C23"/>
    <w:rsid w:val="00A47641"/>
    <w:rsid w:val="00A57935"/>
    <w:rsid w:val="00A60C0A"/>
    <w:rsid w:val="00A73014"/>
    <w:rsid w:val="00A81E57"/>
    <w:rsid w:val="00A82B2B"/>
    <w:rsid w:val="00A85265"/>
    <w:rsid w:val="00A8547E"/>
    <w:rsid w:val="00A8570B"/>
    <w:rsid w:val="00AA0571"/>
    <w:rsid w:val="00AA3BBF"/>
    <w:rsid w:val="00AA46E6"/>
    <w:rsid w:val="00AA77C6"/>
    <w:rsid w:val="00AB1328"/>
    <w:rsid w:val="00AC1F0C"/>
    <w:rsid w:val="00AF7F56"/>
    <w:rsid w:val="00B13631"/>
    <w:rsid w:val="00B15120"/>
    <w:rsid w:val="00B22373"/>
    <w:rsid w:val="00B3011F"/>
    <w:rsid w:val="00B30CD0"/>
    <w:rsid w:val="00B36E78"/>
    <w:rsid w:val="00B37476"/>
    <w:rsid w:val="00B52F09"/>
    <w:rsid w:val="00B67277"/>
    <w:rsid w:val="00B97225"/>
    <w:rsid w:val="00BA2E2D"/>
    <w:rsid w:val="00BA6B7A"/>
    <w:rsid w:val="00BD41B0"/>
    <w:rsid w:val="00C110B1"/>
    <w:rsid w:val="00C30322"/>
    <w:rsid w:val="00C3474D"/>
    <w:rsid w:val="00C4375F"/>
    <w:rsid w:val="00C50F50"/>
    <w:rsid w:val="00C60F79"/>
    <w:rsid w:val="00CA019B"/>
    <w:rsid w:val="00CB157B"/>
    <w:rsid w:val="00CB4CA8"/>
    <w:rsid w:val="00CB774D"/>
    <w:rsid w:val="00CC505F"/>
    <w:rsid w:val="00D100C9"/>
    <w:rsid w:val="00D10701"/>
    <w:rsid w:val="00D20D54"/>
    <w:rsid w:val="00D34ADC"/>
    <w:rsid w:val="00D47E0F"/>
    <w:rsid w:val="00D65176"/>
    <w:rsid w:val="00D92DFD"/>
    <w:rsid w:val="00D9519B"/>
    <w:rsid w:val="00D95F7A"/>
    <w:rsid w:val="00DA38B8"/>
    <w:rsid w:val="00DA559B"/>
    <w:rsid w:val="00DC5CA3"/>
    <w:rsid w:val="00DD32BA"/>
    <w:rsid w:val="00DE2771"/>
    <w:rsid w:val="00E30977"/>
    <w:rsid w:val="00E52500"/>
    <w:rsid w:val="00E573AA"/>
    <w:rsid w:val="00E669DB"/>
    <w:rsid w:val="00E815E5"/>
    <w:rsid w:val="00E90773"/>
    <w:rsid w:val="00E92CD1"/>
    <w:rsid w:val="00E95B38"/>
    <w:rsid w:val="00E97A7F"/>
    <w:rsid w:val="00EA3823"/>
    <w:rsid w:val="00EB0F88"/>
    <w:rsid w:val="00EB4FFD"/>
    <w:rsid w:val="00EC3525"/>
    <w:rsid w:val="00ED1CC4"/>
    <w:rsid w:val="00EF44BE"/>
    <w:rsid w:val="00EF4C0A"/>
    <w:rsid w:val="00F020C1"/>
    <w:rsid w:val="00F05F2D"/>
    <w:rsid w:val="00F426CB"/>
    <w:rsid w:val="00F511FB"/>
    <w:rsid w:val="00F7084A"/>
    <w:rsid w:val="00F714A3"/>
    <w:rsid w:val="00F7454F"/>
    <w:rsid w:val="00F82036"/>
    <w:rsid w:val="00F855B8"/>
    <w:rsid w:val="00F863C1"/>
    <w:rsid w:val="00F92D3E"/>
    <w:rsid w:val="00F95CB0"/>
    <w:rsid w:val="00FC5888"/>
    <w:rsid w:val="00FE0FC0"/>
    <w:rsid w:val="00FF08A2"/>
    <w:rsid w:val="00FF3424"/>
    <w:rsid w:val="00FF75AD"/>
    <w:rsid w:val="071E316A"/>
    <w:rsid w:val="0C4E6EF0"/>
    <w:rsid w:val="0DE77F12"/>
    <w:rsid w:val="0ED70174"/>
    <w:rsid w:val="114461E2"/>
    <w:rsid w:val="12E03AC6"/>
    <w:rsid w:val="14CA5914"/>
    <w:rsid w:val="14DD7C48"/>
    <w:rsid w:val="19DA3E62"/>
    <w:rsid w:val="1B49552A"/>
    <w:rsid w:val="1E1862E1"/>
    <w:rsid w:val="20A976C4"/>
    <w:rsid w:val="23647EE9"/>
    <w:rsid w:val="2580190C"/>
    <w:rsid w:val="2D3D4257"/>
    <w:rsid w:val="2F430402"/>
    <w:rsid w:val="30435197"/>
    <w:rsid w:val="30DB4DE7"/>
    <w:rsid w:val="337D18C1"/>
    <w:rsid w:val="3402530F"/>
    <w:rsid w:val="34481C76"/>
    <w:rsid w:val="38CF538C"/>
    <w:rsid w:val="40612630"/>
    <w:rsid w:val="41746FFC"/>
    <w:rsid w:val="452A028C"/>
    <w:rsid w:val="4763688B"/>
    <w:rsid w:val="489D1783"/>
    <w:rsid w:val="4A964B51"/>
    <w:rsid w:val="4FC45A2F"/>
    <w:rsid w:val="511D2CEB"/>
    <w:rsid w:val="54EF5446"/>
    <w:rsid w:val="55393694"/>
    <w:rsid w:val="55B754E1"/>
    <w:rsid w:val="56CF2CAA"/>
    <w:rsid w:val="57946598"/>
    <w:rsid w:val="5B5A3CEB"/>
    <w:rsid w:val="5F986B98"/>
    <w:rsid w:val="604D1E01"/>
    <w:rsid w:val="627A3027"/>
    <w:rsid w:val="64270BC1"/>
    <w:rsid w:val="669E223C"/>
    <w:rsid w:val="684D3FAA"/>
    <w:rsid w:val="6ABE6001"/>
    <w:rsid w:val="6B6F5CAB"/>
    <w:rsid w:val="72E6342D"/>
    <w:rsid w:val="73014ED1"/>
    <w:rsid w:val="73412E64"/>
    <w:rsid w:val="767856CA"/>
    <w:rsid w:val="784438A3"/>
    <w:rsid w:val="78F0682D"/>
    <w:rsid w:val="78F47625"/>
    <w:rsid w:val="790B0CBB"/>
    <w:rsid w:val="79BB18D5"/>
    <w:rsid w:val="7A6F719B"/>
    <w:rsid w:val="7AFE56C7"/>
    <w:rsid w:val="7B4F558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99" w:semiHidden="0" w:name="heading 2"/>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nhideWhenUsed="0" w:uiPriority="99" w:name="annotation text"/>
    <w:lsdException w:qFormat="1" w:unhideWhenUsed="0" w:uiPriority="99" w:semiHidden="0" w:name="header"/>
    <w:lsdException w:qFormat="1" w:unhideWhenUsed="0" w:uiPriority="99"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link w:val="16"/>
    <w:qFormat/>
    <w:uiPriority w:val="99"/>
    <w:pPr>
      <w:keepNext/>
      <w:keepLines/>
      <w:spacing w:before="120" w:after="120" w:line="400" w:lineRule="atLeast"/>
      <w:jc w:val="center"/>
      <w:outlineLvl w:val="1"/>
    </w:pPr>
    <w:rPr>
      <w:rFonts w:ascii="Times New Roman" w:hAnsi="Times New Roman"/>
      <w:b/>
      <w:bCs/>
      <w:sz w:val="28"/>
      <w:szCs w:val="32"/>
    </w:rPr>
  </w:style>
  <w:style w:type="character" w:default="1" w:styleId="11">
    <w:name w:val="Default Paragraph Font"/>
    <w:semiHidden/>
    <w:qFormat/>
    <w:uiPriority w:val="99"/>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7"/>
    <w:semiHidden/>
    <w:uiPriority w:val="99"/>
    <w:pPr>
      <w:jc w:val="left"/>
    </w:pPr>
  </w:style>
  <w:style w:type="paragraph" w:styleId="4">
    <w:name w:val="Balloon Text"/>
    <w:basedOn w:val="1"/>
    <w:link w:val="18"/>
    <w:semiHidden/>
    <w:uiPriority w:val="99"/>
    <w:rPr>
      <w:sz w:val="18"/>
      <w:szCs w:val="18"/>
    </w:rPr>
  </w:style>
  <w:style w:type="paragraph" w:styleId="5">
    <w:name w:val="footer"/>
    <w:basedOn w:val="1"/>
    <w:link w:val="19"/>
    <w:semiHidden/>
    <w:qFormat/>
    <w:uiPriority w:val="99"/>
    <w:pPr>
      <w:tabs>
        <w:tab w:val="center" w:pos="4153"/>
        <w:tab w:val="right" w:pos="8306"/>
      </w:tabs>
      <w:snapToGrid w:val="0"/>
      <w:jc w:val="left"/>
    </w:pPr>
    <w:rPr>
      <w:sz w:val="18"/>
      <w:szCs w:val="18"/>
    </w:rPr>
  </w:style>
  <w:style w:type="paragraph" w:styleId="6">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8">
    <w:name w:val="annotation subject"/>
    <w:basedOn w:val="3"/>
    <w:next w:val="3"/>
    <w:link w:val="21"/>
    <w:semiHidden/>
    <w:qFormat/>
    <w:uiPriority w:val="99"/>
    <w:rPr>
      <w:b/>
      <w:bCs/>
    </w:rPr>
  </w:style>
  <w:style w:type="table" w:styleId="10">
    <w:name w:val="Table Grid"/>
    <w:basedOn w:val="9"/>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Strong"/>
    <w:basedOn w:val="11"/>
    <w:qFormat/>
    <w:uiPriority w:val="99"/>
    <w:rPr>
      <w:rFonts w:cs="Times New Roman"/>
      <w:b/>
      <w:bCs/>
    </w:rPr>
  </w:style>
  <w:style w:type="character" w:styleId="13">
    <w:name w:val="page number"/>
    <w:basedOn w:val="11"/>
    <w:qFormat/>
    <w:uiPriority w:val="99"/>
    <w:rPr>
      <w:rFonts w:cs="Times New Roman"/>
    </w:rPr>
  </w:style>
  <w:style w:type="character" w:styleId="14">
    <w:name w:val="Hyperlink"/>
    <w:basedOn w:val="11"/>
    <w:qFormat/>
    <w:uiPriority w:val="99"/>
    <w:rPr>
      <w:rFonts w:cs="Times New Roman"/>
      <w:color w:val="0000FF"/>
      <w:u w:val="single"/>
    </w:rPr>
  </w:style>
  <w:style w:type="character" w:styleId="15">
    <w:name w:val="annotation reference"/>
    <w:basedOn w:val="11"/>
    <w:semiHidden/>
    <w:qFormat/>
    <w:uiPriority w:val="99"/>
    <w:rPr>
      <w:rFonts w:cs="Times New Roman"/>
      <w:sz w:val="21"/>
      <w:szCs w:val="21"/>
    </w:rPr>
  </w:style>
  <w:style w:type="character" w:customStyle="1" w:styleId="16">
    <w:name w:val="Heading 2 Char"/>
    <w:basedOn w:val="11"/>
    <w:link w:val="2"/>
    <w:qFormat/>
    <w:locked/>
    <w:uiPriority w:val="99"/>
    <w:rPr>
      <w:rFonts w:ascii="Times New Roman" w:hAnsi="Times New Roman" w:eastAsia="宋体" w:cs="Times New Roman"/>
      <w:b/>
      <w:bCs/>
      <w:kern w:val="2"/>
      <w:sz w:val="32"/>
      <w:szCs w:val="32"/>
    </w:rPr>
  </w:style>
  <w:style w:type="character" w:customStyle="1" w:styleId="17">
    <w:name w:val="Comment Text Char"/>
    <w:basedOn w:val="11"/>
    <w:link w:val="3"/>
    <w:semiHidden/>
    <w:locked/>
    <w:uiPriority w:val="99"/>
    <w:rPr>
      <w:rFonts w:cs="Times New Roman"/>
    </w:rPr>
  </w:style>
  <w:style w:type="character" w:customStyle="1" w:styleId="18">
    <w:name w:val="Balloon Text Char"/>
    <w:basedOn w:val="11"/>
    <w:link w:val="4"/>
    <w:semiHidden/>
    <w:qFormat/>
    <w:locked/>
    <w:uiPriority w:val="99"/>
    <w:rPr>
      <w:rFonts w:cs="Times New Roman"/>
      <w:sz w:val="18"/>
      <w:szCs w:val="18"/>
    </w:rPr>
  </w:style>
  <w:style w:type="character" w:customStyle="1" w:styleId="19">
    <w:name w:val="Footer Char"/>
    <w:basedOn w:val="11"/>
    <w:link w:val="5"/>
    <w:semiHidden/>
    <w:locked/>
    <w:uiPriority w:val="99"/>
    <w:rPr>
      <w:rFonts w:cs="Times New Roman"/>
      <w:sz w:val="18"/>
      <w:szCs w:val="18"/>
    </w:rPr>
  </w:style>
  <w:style w:type="character" w:customStyle="1" w:styleId="20">
    <w:name w:val="Header Char"/>
    <w:basedOn w:val="11"/>
    <w:link w:val="6"/>
    <w:qFormat/>
    <w:locked/>
    <w:uiPriority w:val="99"/>
    <w:rPr>
      <w:rFonts w:cs="Times New Roman"/>
      <w:sz w:val="18"/>
      <w:szCs w:val="18"/>
    </w:rPr>
  </w:style>
  <w:style w:type="character" w:customStyle="1" w:styleId="21">
    <w:name w:val="Comment Subject Char"/>
    <w:basedOn w:val="17"/>
    <w:link w:val="8"/>
    <w:semiHidden/>
    <w:qFormat/>
    <w:locked/>
    <w:uiPriority w:val="99"/>
    <w:rPr>
      <w:b/>
      <w:bCs/>
    </w:rPr>
  </w:style>
  <w:style w:type="paragraph" w:customStyle="1" w:styleId="22">
    <w:name w:val="A正文"/>
    <w:basedOn w:val="1"/>
    <w:link w:val="23"/>
    <w:qFormat/>
    <w:uiPriority w:val="99"/>
    <w:pPr>
      <w:adjustRightInd w:val="0"/>
      <w:snapToGrid w:val="0"/>
      <w:spacing w:beforeLines="50" w:line="500" w:lineRule="exact"/>
      <w:ind w:firstLine="560" w:firstLineChars="200"/>
    </w:pPr>
    <w:rPr>
      <w:rFonts w:ascii="Times New Roman" w:hAnsi="Times New Roman" w:eastAsia="仿宋"/>
      <w:sz w:val="28"/>
      <w:szCs w:val="20"/>
      <w:shd w:val="clear" w:color="auto" w:fill="FCFCFC"/>
    </w:rPr>
  </w:style>
  <w:style w:type="character" w:customStyle="1" w:styleId="23">
    <w:name w:val="A正文 字符"/>
    <w:link w:val="22"/>
    <w:qFormat/>
    <w:locked/>
    <w:uiPriority w:val="99"/>
    <w:rPr>
      <w:rFonts w:ascii="Times New Roman" w:hAnsi="Times New Roman" w:eastAsia="仿宋"/>
      <w:kern w:val="2"/>
      <w:sz w:val="2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china</Company>
  <Pages>9</Pages>
  <Words>1067</Words>
  <Characters>6087</Characters>
  <Lines>0</Lines>
  <Paragraphs>0</Paragraphs>
  <TotalTime>74</TotalTime>
  <ScaleCrop>false</ScaleCrop>
  <LinksUpToDate>false</LinksUpToDate>
  <CharactersWithSpaces>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2020-09-23T01:41:00Z</dcterms:created>
  <dc:creator>AutoBVT</dc:creator>
  <cp:lastModifiedBy>hp</cp:lastModifiedBy>
  <cp:lastPrinted>2020-05-26T03:15:00Z</cp:lastPrinted>
  <dcterms:modified xsi:type="dcterms:W3CDTF">2022-09-21T04:21:12Z</dcterms:modified>
  <dc:title>四川大学外国语学院推荐优秀应届本科毕业生免试攻读研究生的实施办法</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061D7D325C51473BBE870F802587E7C9</vt:lpwstr>
  </property>
</Properties>
</file>