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38298">
      <w:pPr>
        <w:jc w:val="center"/>
        <w:rPr>
          <w:rFonts w:hint="eastAsia" w:ascii="黑体" w:hAnsi="黑体" w:eastAsia="黑体"/>
          <w:color w:val="auto"/>
          <w:sz w:val="36"/>
        </w:rPr>
      </w:pPr>
      <w:r>
        <w:rPr>
          <w:rFonts w:hint="eastAsia" w:ascii="黑体" w:hAnsi="黑体" w:eastAsia="黑体"/>
          <w:color w:val="auto"/>
          <w:sz w:val="36"/>
        </w:rPr>
        <w:t>天津大学建筑工程学院2025年推荐优秀应届本科毕业生免试攻读研究生工作实施细则</w:t>
      </w:r>
    </w:p>
    <w:p w14:paraId="7845C1F4">
      <w:pPr>
        <w:rPr>
          <w:color w:val="auto"/>
        </w:rPr>
      </w:pPr>
    </w:p>
    <w:p w14:paraId="272EAB72">
      <w:pPr>
        <w:spacing w:line="360" w:lineRule="auto"/>
        <w:ind w:firstLine="480"/>
        <w:rPr>
          <w:rFonts w:hint="eastAsia" w:ascii="宋体" w:hAnsi="宋体" w:eastAsia="宋体"/>
          <w:color w:val="auto"/>
          <w:sz w:val="28"/>
        </w:rPr>
      </w:pPr>
      <w:r>
        <w:rPr>
          <w:rFonts w:hint="eastAsia" w:ascii="宋体" w:hAnsi="宋体" w:eastAsia="宋体"/>
          <w:color w:val="auto"/>
          <w:sz w:val="28"/>
        </w:rPr>
        <w:t>为促进建筑工程学院（以下简称学院）推荐优秀应届本科毕业生免试攻读硕士学位研究生（以下简称推免生）工作的健康发展，进一步提高我院研究生招生质量，加大卓越拔尖创新人才培</w:t>
      </w:r>
      <w:bookmarkStart w:id="0" w:name="_GoBack"/>
      <w:bookmarkEnd w:id="0"/>
      <w:r>
        <w:rPr>
          <w:rFonts w:hint="eastAsia" w:ascii="宋体" w:hAnsi="宋体" w:eastAsia="宋体"/>
          <w:color w:val="auto"/>
          <w:sz w:val="28"/>
        </w:rPr>
        <w:t>养力度，深入实施素质教育，结合学院具体情况，制订本实施细则。</w:t>
      </w:r>
    </w:p>
    <w:p w14:paraId="44740D5B">
      <w:pPr>
        <w:pStyle w:val="8"/>
        <w:spacing w:before="0" w:beforeAutospacing="0" w:after="0" w:afterAutospacing="0" w:line="360" w:lineRule="auto"/>
        <w:ind w:firstLine="480"/>
        <w:rPr>
          <w:rStyle w:val="13"/>
          <w:rFonts w:hint="eastAsia" w:ascii="黑体" w:hAnsi="黑体" w:eastAsia="黑体" w:cs="Times New Roman"/>
          <w:color w:val="auto"/>
          <w:sz w:val="28"/>
        </w:rPr>
      </w:pPr>
      <w:r>
        <w:rPr>
          <w:rStyle w:val="13"/>
          <w:rFonts w:ascii="黑体" w:hAnsi="黑体" w:eastAsia="黑体" w:cs="Times New Roman"/>
          <w:color w:val="auto"/>
          <w:sz w:val="28"/>
        </w:rPr>
        <w:t>一、工作原则</w:t>
      </w:r>
    </w:p>
    <w:p w14:paraId="333126D7">
      <w:pPr>
        <w:spacing w:line="360" w:lineRule="auto"/>
        <w:ind w:firstLine="480"/>
        <w:rPr>
          <w:rFonts w:hint="eastAsia" w:ascii="宋体" w:hAnsi="宋体" w:eastAsia="宋体"/>
          <w:color w:val="auto"/>
          <w:sz w:val="28"/>
        </w:rPr>
      </w:pPr>
      <w:r>
        <w:rPr>
          <w:rFonts w:hint="eastAsia" w:ascii="宋体" w:hAnsi="宋体" w:eastAsia="宋体"/>
          <w:color w:val="auto"/>
          <w:sz w:val="28"/>
        </w:rPr>
        <w:t>1、坚持“五育并举、以德为先、综合评价、择优推荐”的工作方针，严格执行统一的推荐标准，注重对考生平时学习和综合素质测评基础上，着重突出对考生思想品德、创新精神、科研潜质和专业能力的考核。</w:t>
      </w:r>
    </w:p>
    <w:p w14:paraId="7FABC438">
      <w:pPr>
        <w:spacing w:line="360" w:lineRule="auto"/>
        <w:ind w:firstLine="480"/>
        <w:rPr>
          <w:rFonts w:hint="eastAsia" w:ascii="宋体" w:hAnsi="宋体" w:eastAsia="宋体"/>
          <w:color w:val="auto"/>
          <w:sz w:val="28"/>
        </w:rPr>
      </w:pPr>
      <w:r>
        <w:rPr>
          <w:rFonts w:hint="eastAsia" w:ascii="宋体" w:hAnsi="宋体" w:eastAsia="宋体"/>
          <w:color w:val="auto"/>
          <w:sz w:val="28"/>
        </w:rPr>
        <w:t>2、坚持“公平、公开、公正”的原则，由学院制定科学、规范、量化的推荐标准及公开透明的工作程序，严格按程序进行。</w:t>
      </w:r>
    </w:p>
    <w:p w14:paraId="7B93886F">
      <w:pPr>
        <w:pStyle w:val="8"/>
        <w:spacing w:before="0" w:beforeAutospacing="0" w:after="0" w:afterAutospacing="0" w:line="360" w:lineRule="auto"/>
        <w:ind w:firstLine="480"/>
        <w:rPr>
          <w:rStyle w:val="13"/>
          <w:rFonts w:hint="eastAsia" w:ascii="黑体" w:hAnsi="黑体" w:eastAsia="黑体" w:cs="Times New Roman"/>
          <w:color w:val="auto"/>
          <w:sz w:val="28"/>
        </w:rPr>
      </w:pPr>
      <w:r>
        <w:rPr>
          <w:rStyle w:val="13"/>
          <w:rFonts w:ascii="黑体" w:hAnsi="黑体" w:eastAsia="黑体" w:cs="Times New Roman"/>
          <w:color w:val="auto"/>
          <w:sz w:val="28"/>
        </w:rPr>
        <w:t>二、</w:t>
      </w:r>
      <w:r>
        <w:rPr>
          <w:rStyle w:val="13"/>
          <w:rFonts w:hint="eastAsia" w:ascii="黑体" w:hAnsi="黑体" w:eastAsia="黑体" w:cs="Times New Roman"/>
          <w:color w:val="auto"/>
          <w:sz w:val="28"/>
        </w:rPr>
        <w:t>组织</w:t>
      </w:r>
      <w:r>
        <w:rPr>
          <w:rStyle w:val="13"/>
          <w:rFonts w:ascii="黑体" w:hAnsi="黑体" w:eastAsia="黑体" w:cs="Times New Roman"/>
          <w:color w:val="auto"/>
          <w:sz w:val="28"/>
        </w:rPr>
        <w:t>领导</w:t>
      </w:r>
    </w:p>
    <w:p w14:paraId="65E60056">
      <w:pPr>
        <w:spacing w:line="360" w:lineRule="auto"/>
        <w:ind w:firstLine="480"/>
        <w:rPr>
          <w:rFonts w:hint="eastAsia" w:ascii="宋体" w:hAnsi="宋体" w:eastAsia="宋体"/>
          <w:color w:val="auto"/>
          <w:sz w:val="28"/>
        </w:rPr>
      </w:pPr>
      <w:r>
        <w:rPr>
          <w:rFonts w:hint="eastAsia" w:ascii="宋体" w:hAnsi="宋体" w:eastAsia="宋体"/>
          <w:color w:val="auto"/>
          <w:sz w:val="28"/>
        </w:rPr>
        <w:t>学院成立推免领导小组，由书记、院长任组长，本科教学副院长、副书记任副组长，各系主任担任成员。推免工作专家审核小组由各专业分别成立，由各系所负责人任组长，各系主管本科教学副主任、各专业教师代表担任成员。</w:t>
      </w:r>
    </w:p>
    <w:p w14:paraId="43A7C061">
      <w:pPr>
        <w:spacing w:line="360" w:lineRule="auto"/>
        <w:ind w:firstLine="480"/>
        <w:rPr>
          <w:rFonts w:hint="eastAsia" w:ascii="黑体" w:hAnsi="黑体" w:eastAsia="黑体"/>
          <w:b/>
          <w:color w:val="auto"/>
          <w:sz w:val="28"/>
        </w:rPr>
      </w:pPr>
      <w:r>
        <w:rPr>
          <w:rFonts w:ascii="黑体" w:hAnsi="黑体" w:eastAsia="黑体"/>
          <w:b/>
          <w:color w:val="auto"/>
          <w:sz w:val="28"/>
        </w:rPr>
        <w:t>建筑工程学院本科生推免工作领导小组</w:t>
      </w:r>
    </w:p>
    <w:p w14:paraId="158C1A9D">
      <w:pPr>
        <w:spacing w:line="360" w:lineRule="auto"/>
        <w:ind w:firstLine="480"/>
        <w:rPr>
          <w:rFonts w:hint="eastAsia" w:ascii="宋体" w:hAnsi="宋体" w:eastAsia="宋体"/>
          <w:color w:val="auto"/>
          <w:sz w:val="28"/>
        </w:rPr>
      </w:pPr>
      <w:r>
        <w:rPr>
          <w:rFonts w:ascii="宋体" w:hAnsi="宋体" w:eastAsia="宋体"/>
          <w:color w:val="auto"/>
          <w:sz w:val="28"/>
        </w:rPr>
        <w:t>组</w:t>
      </w:r>
      <w:r>
        <w:rPr>
          <w:rFonts w:hint="eastAsia" w:ascii="宋体" w:hAnsi="宋体" w:eastAsia="宋体"/>
          <w:color w:val="auto"/>
          <w:sz w:val="28"/>
        </w:rPr>
        <w:t xml:space="preserve"> </w:t>
      </w:r>
      <w:r>
        <w:rPr>
          <w:rFonts w:ascii="宋体" w:hAnsi="宋体" w:eastAsia="宋体"/>
          <w:color w:val="auto"/>
          <w:sz w:val="28"/>
        </w:rPr>
        <w:t xml:space="preserve"> 长</w:t>
      </w:r>
      <w:r>
        <w:rPr>
          <w:rFonts w:hint="eastAsia" w:ascii="宋体" w:hAnsi="宋体" w:eastAsia="宋体"/>
          <w:color w:val="auto"/>
          <w:sz w:val="28"/>
        </w:rPr>
        <w:t xml:space="preserve">：马德刚 </w:t>
      </w:r>
      <w:r>
        <w:rPr>
          <w:rFonts w:ascii="宋体" w:hAnsi="宋体" w:eastAsia="宋体"/>
          <w:color w:val="auto"/>
          <w:sz w:val="28"/>
        </w:rPr>
        <w:t xml:space="preserve"> </w:t>
      </w:r>
      <w:r>
        <w:rPr>
          <w:rFonts w:hint="eastAsia" w:ascii="宋体" w:hAnsi="宋体" w:eastAsia="宋体"/>
          <w:color w:val="auto"/>
          <w:sz w:val="28"/>
        </w:rPr>
        <w:t>师燕超</w:t>
      </w:r>
    </w:p>
    <w:p w14:paraId="3AE5B68D">
      <w:pPr>
        <w:spacing w:line="360" w:lineRule="auto"/>
        <w:ind w:firstLine="480"/>
        <w:rPr>
          <w:rFonts w:hint="eastAsia" w:ascii="宋体" w:hAnsi="宋体" w:eastAsia="宋体"/>
          <w:color w:val="auto"/>
          <w:sz w:val="28"/>
        </w:rPr>
      </w:pPr>
      <w:r>
        <w:rPr>
          <w:rFonts w:ascii="宋体" w:hAnsi="宋体" w:eastAsia="宋体"/>
          <w:color w:val="auto"/>
          <w:sz w:val="28"/>
        </w:rPr>
        <w:t>副组长</w:t>
      </w:r>
      <w:r>
        <w:rPr>
          <w:rFonts w:hint="eastAsia" w:ascii="宋体" w:hAnsi="宋体" w:eastAsia="宋体"/>
          <w:color w:val="auto"/>
          <w:sz w:val="28"/>
        </w:rPr>
        <w:t xml:space="preserve">：张晨 </w:t>
      </w:r>
      <w:r>
        <w:rPr>
          <w:rFonts w:ascii="宋体" w:hAnsi="宋体" w:eastAsia="宋体"/>
          <w:color w:val="auto"/>
          <w:sz w:val="28"/>
        </w:rPr>
        <w:t xml:space="preserve"> </w:t>
      </w:r>
      <w:r>
        <w:rPr>
          <w:rFonts w:hint="eastAsia" w:ascii="宋体" w:hAnsi="宋体" w:eastAsia="宋体"/>
          <w:color w:val="auto"/>
          <w:sz w:val="28"/>
        </w:rPr>
        <w:t xml:space="preserve">张宏垚 </w:t>
      </w:r>
      <w:r>
        <w:rPr>
          <w:rFonts w:ascii="宋体" w:hAnsi="宋体" w:eastAsia="宋体"/>
          <w:color w:val="auto"/>
          <w:sz w:val="28"/>
        </w:rPr>
        <w:t xml:space="preserve"> </w:t>
      </w:r>
    </w:p>
    <w:p w14:paraId="19991DEF">
      <w:pPr>
        <w:spacing w:line="360" w:lineRule="auto"/>
        <w:ind w:firstLine="480"/>
        <w:rPr>
          <w:rFonts w:hint="eastAsia" w:ascii="宋体" w:hAnsi="宋体" w:eastAsia="宋体"/>
          <w:color w:val="auto"/>
          <w:sz w:val="28"/>
        </w:rPr>
      </w:pPr>
      <w:r>
        <w:rPr>
          <w:rFonts w:hint="eastAsia" w:ascii="宋体" w:hAnsi="宋体" w:eastAsia="宋体"/>
          <w:color w:val="auto"/>
          <w:sz w:val="28"/>
        </w:rPr>
        <w:t xml:space="preserve">成 </w:t>
      </w:r>
      <w:r>
        <w:rPr>
          <w:rFonts w:ascii="宋体" w:hAnsi="宋体" w:eastAsia="宋体"/>
          <w:color w:val="auto"/>
          <w:sz w:val="28"/>
        </w:rPr>
        <w:t xml:space="preserve"> </w:t>
      </w:r>
      <w:r>
        <w:rPr>
          <w:rFonts w:hint="eastAsia" w:ascii="宋体" w:hAnsi="宋体" w:eastAsia="宋体"/>
          <w:color w:val="auto"/>
          <w:sz w:val="28"/>
        </w:rPr>
        <w:t xml:space="preserve">员：余建星 </w:t>
      </w:r>
      <w:r>
        <w:rPr>
          <w:rFonts w:ascii="宋体" w:hAnsi="宋体" w:eastAsia="宋体"/>
          <w:color w:val="auto"/>
          <w:sz w:val="28"/>
        </w:rPr>
        <w:t xml:space="preserve"> </w:t>
      </w:r>
      <w:r>
        <w:rPr>
          <w:rFonts w:hint="eastAsia" w:ascii="宋体" w:hAnsi="宋体" w:eastAsia="宋体"/>
          <w:color w:val="auto"/>
          <w:sz w:val="28"/>
        </w:rPr>
        <w:t xml:space="preserve">张晋元 </w:t>
      </w:r>
      <w:r>
        <w:rPr>
          <w:rFonts w:ascii="宋体" w:hAnsi="宋体" w:eastAsia="宋体"/>
          <w:color w:val="auto"/>
          <w:sz w:val="28"/>
        </w:rPr>
        <w:t xml:space="preserve"> 刘东海</w:t>
      </w:r>
      <w:r>
        <w:rPr>
          <w:rFonts w:hint="eastAsia" w:ascii="宋体" w:hAnsi="宋体" w:eastAsia="宋体"/>
          <w:color w:val="auto"/>
          <w:sz w:val="28"/>
        </w:rPr>
        <w:t xml:space="preserve"> </w:t>
      </w:r>
      <w:r>
        <w:rPr>
          <w:rFonts w:ascii="宋体" w:hAnsi="宋体" w:eastAsia="宋体"/>
          <w:color w:val="auto"/>
          <w:sz w:val="28"/>
        </w:rPr>
        <w:t xml:space="preserve"> 刘润</w:t>
      </w:r>
      <w:r>
        <w:rPr>
          <w:rFonts w:hint="eastAsia" w:ascii="宋体" w:hAnsi="宋体" w:eastAsia="宋体"/>
          <w:color w:val="auto"/>
          <w:sz w:val="28"/>
        </w:rPr>
        <w:t xml:space="preserve"> </w:t>
      </w:r>
      <w:r>
        <w:rPr>
          <w:rFonts w:ascii="宋体" w:hAnsi="宋体" w:eastAsia="宋体"/>
          <w:color w:val="auto"/>
          <w:sz w:val="28"/>
        </w:rPr>
        <w:t xml:space="preserve"> 张金凤</w:t>
      </w:r>
    </w:p>
    <w:p w14:paraId="221E2415">
      <w:pPr>
        <w:spacing w:line="360" w:lineRule="auto"/>
        <w:ind w:firstLine="480"/>
        <w:rPr>
          <w:rFonts w:hint="eastAsia" w:ascii="黑体" w:hAnsi="黑体" w:eastAsia="黑体"/>
          <w:b/>
          <w:color w:val="auto"/>
          <w:sz w:val="28"/>
        </w:rPr>
      </w:pPr>
      <w:r>
        <w:rPr>
          <w:rFonts w:ascii="黑体" w:hAnsi="黑体" w:eastAsia="黑体"/>
          <w:b/>
          <w:color w:val="auto"/>
          <w:sz w:val="28"/>
        </w:rPr>
        <w:t>建筑工程学院本科生推免工作</w:t>
      </w:r>
      <w:r>
        <w:rPr>
          <w:rFonts w:hint="eastAsia" w:ascii="黑体" w:hAnsi="黑体" w:eastAsia="黑体"/>
          <w:b/>
          <w:color w:val="auto"/>
          <w:sz w:val="28"/>
        </w:rPr>
        <w:t>专家审核小组</w:t>
      </w:r>
    </w:p>
    <w:p w14:paraId="795AED54">
      <w:pPr>
        <w:spacing w:line="360" w:lineRule="auto"/>
        <w:ind w:firstLine="480"/>
        <w:rPr>
          <w:rFonts w:hint="eastAsia" w:ascii="黑体" w:hAnsi="黑体" w:eastAsia="黑体"/>
          <w:color w:val="auto"/>
          <w:sz w:val="28"/>
        </w:rPr>
      </w:pPr>
      <w:r>
        <w:rPr>
          <w:rFonts w:hint="eastAsia" w:ascii="黑体" w:hAnsi="黑体" w:eastAsia="黑体"/>
          <w:color w:val="auto"/>
          <w:sz w:val="28"/>
        </w:rPr>
        <w:t>土木工程</w:t>
      </w:r>
    </w:p>
    <w:p w14:paraId="304F9618">
      <w:pPr>
        <w:spacing w:line="360" w:lineRule="auto"/>
        <w:ind w:firstLine="560" w:firstLineChars="200"/>
        <w:rPr>
          <w:rFonts w:hint="eastAsia" w:asciiTheme="minorEastAsia" w:hAnsiTheme="minorEastAsia"/>
          <w:color w:val="auto"/>
          <w:sz w:val="28"/>
        </w:rPr>
      </w:pPr>
      <w:r>
        <w:rPr>
          <w:rFonts w:hint="eastAsia" w:asciiTheme="minorEastAsia" w:hAnsiTheme="minorEastAsia"/>
          <w:color w:val="auto"/>
          <w:sz w:val="28"/>
        </w:rPr>
        <w:t>组长：张晋元</w:t>
      </w:r>
    </w:p>
    <w:p w14:paraId="2454087D">
      <w:pPr>
        <w:spacing w:line="360" w:lineRule="auto"/>
        <w:ind w:firstLine="560" w:firstLineChars="200"/>
        <w:rPr>
          <w:rFonts w:hint="eastAsia" w:asciiTheme="minorEastAsia" w:hAnsiTheme="minorEastAsia"/>
          <w:color w:val="auto"/>
          <w:sz w:val="28"/>
        </w:rPr>
      </w:pPr>
      <w:r>
        <w:rPr>
          <w:rFonts w:hint="eastAsia" w:asciiTheme="minorEastAsia" w:hAnsiTheme="minorEastAsia"/>
          <w:color w:val="auto"/>
          <w:sz w:val="28"/>
        </w:rPr>
        <w:t xml:space="preserve">成员：宗亮  严加宝  芦燕  程雪松  </w:t>
      </w:r>
    </w:p>
    <w:p w14:paraId="783DE3D1">
      <w:pPr>
        <w:spacing w:line="360" w:lineRule="auto"/>
        <w:ind w:firstLine="480"/>
        <w:rPr>
          <w:rFonts w:hint="eastAsia" w:ascii="黑体" w:hAnsi="黑体" w:eastAsia="黑体"/>
          <w:color w:val="auto"/>
          <w:sz w:val="28"/>
        </w:rPr>
      </w:pPr>
      <w:r>
        <w:rPr>
          <w:rFonts w:hint="eastAsia" w:ascii="黑体" w:hAnsi="黑体" w:eastAsia="黑体"/>
          <w:color w:val="auto"/>
          <w:sz w:val="28"/>
        </w:rPr>
        <w:t>水利水电工程</w:t>
      </w:r>
    </w:p>
    <w:p w14:paraId="7959C59A">
      <w:pPr>
        <w:spacing w:line="360" w:lineRule="auto"/>
        <w:ind w:firstLine="560" w:firstLineChars="200"/>
        <w:rPr>
          <w:rFonts w:hint="eastAsia" w:asciiTheme="minorEastAsia" w:hAnsiTheme="minorEastAsia"/>
          <w:color w:val="auto"/>
          <w:sz w:val="28"/>
        </w:rPr>
      </w:pPr>
      <w:r>
        <w:rPr>
          <w:rFonts w:hint="eastAsia" w:asciiTheme="minorEastAsia" w:hAnsiTheme="minorEastAsia"/>
          <w:color w:val="auto"/>
          <w:sz w:val="28"/>
        </w:rPr>
        <w:t xml:space="preserve">组长：刘东海  刘润  </w:t>
      </w:r>
    </w:p>
    <w:p w14:paraId="03FEAEBE">
      <w:pPr>
        <w:spacing w:line="360" w:lineRule="auto"/>
        <w:ind w:firstLine="560" w:firstLineChars="200"/>
        <w:rPr>
          <w:rFonts w:hint="eastAsia" w:asciiTheme="minorEastAsia" w:hAnsiTheme="minorEastAsia"/>
          <w:color w:val="auto"/>
          <w:sz w:val="28"/>
        </w:rPr>
      </w:pPr>
      <w:r>
        <w:rPr>
          <w:rFonts w:hint="eastAsia" w:asciiTheme="minorEastAsia" w:hAnsiTheme="minorEastAsia"/>
          <w:color w:val="auto"/>
          <w:sz w:val="28"/>
        </w:rPr>
        <w:t xml:space="preserve">成员：邱长林 </w:t>
      </w:r>
      <w:r>
        <w:rPr>
          <w:rFonts w:asciiTheme="minorEastAsia" w:hAnsiTheme="minorEastAsia"/>
          <w:color w:val="auto"/>
          <w:sz w:val="28"/>
        </w:rPr>
        <w:t xml:space="preserve"> </w:t>
      </w:r>
      <w:r>
        <w:rPr>
          <w:rFonts w:hint="eastAsia" w:asciiTheme="minorEastAsia" w:hAnsiTheme="minorEastAsia"/>
          <w:color w:val="auto"/>
          <w:sz w:val="28"/>
        </w:rPr>
        <w:t>马超  李发文  佟大威  徐奎</w:t>
      </w:r>
    </w:p>
    <w:p w14:paraId="5C8263FF">
      <w:pPr>
        <w:spacing w:line="360" w:lineRule="auto"/>
        <w:ind w:firstLine="480"/>
        <w:rPr>
          <w:rFonts w:hint="eastAsia" w:ascii="黑体" w:hAnsi="黑体" w:eastAsia="黑体"/>
          <w:color w:val="auto"/>
          <w:sz w:val="28"/>
        </w:rPr>
      </w:pPr>
      <w:r>
        <w:rPr>
          <w:rFonts w:hint="eastAsia" w:ascii="黑体" w:hAnsi="黑体" w:eastAsia="黑体"/>
          <w:color w:val="auto"/>
          <w:sz w:val="28"/>
        </w:rPr>
        <w:t>港口航道与海岸工程</w:t>
      </w:r>
    </w:p>
    <w:p w14:paraId="11431797">
      <w:pPr>
        <w:spacing w:line="360" w:lineRule="auto"/>
        <w:ind w:firstLine="560" w:firstLineChars="200"/>
        <w:rPr>
          <w:rFonts w:hint="eastAsia" w:asciiTheme="minorEastAsia" w:hAnsiTheme="minorEastAsia"/>
          <w:color w:val="auto"/>
          <w:sz w:val="28"/>
        </w:rPr>
      </w:pPr>
      <w:r>
        <w:rPr>
          <w:rFonts w:hint="eastAsia" w:asciiTheme="minorEastAsia" w:hAnsiTheme="minorEastAsia"/>
          <w:color w:val="auto"/>
          <w:sz w:val="28"/>
        </w:rPr>
        <w:t xml:space="preserve">组长：张金凤  </w:t>
      </w:r>
    </w:p>
    <w:p w14:paraId="55ECA930">
      <w:pPr>
        <w:spacing w:line="360" w:lineRule="auto"/>
        <w:ind w:firstLine="560" w:firstLineChars="200"/>
        <w:rPr>
          <w:rFonts w:hint="eastAsia" w:asciiTheme="minorEastAsia" w:hAnsiTheme="minorEastAsia"/>
          <w:color w:val="auto"/>
          <w:sz w:val="28"/>
        </w:rPr>
      </w:pPr>
      <w:r>
        <w:rPr>
          <w:rFonts w:hint="eastAsia" w:asciiTheme="minorEastAsia" w:hAnsiTheme="minorEastAsia"/>
          <w:color w:val="auto"/>
          <w:sz w:val="28"/>
        </w:rPr>
        <w:t xml:space="preserve">成员：徐海珏，陈同庆，及春宁，袁林 </w:t>
      </w:r>
    </w:p>
    <w:p w14:paraId="73236C27">
      <w:pPr>
        <w:spacing w:line="360" w:lineRule="auto"/>
        <w:ind w:firstLine="480"/>
        <w:rPr>
          <w:rFonts w:hint="eastAsia" w:ascii="黑体" w:hAnsi="黑体" w:eastAsia="黑体"/>
          <w:color w:val="auto"/>
          <w:sz w:val="28"/>
        </w:rPr>
      </w:pPr>
      <w:r>
        <w:rPr>
          <w:rFonts w:hint="eastAsia" w:ascii="黑体" w:hAnsi="黑体" w:eastAsia="黑体"/>
          <w:color w:val="auto"/>
          <w:sz w:val="28"/>
        </w:rPr>
        <w:t>船舶与海洋工程</w:t>
      </w:r>
    </w:p>
    <w:p w14:paraId="30F90C94">
      <w:pPr>
        <w:spacing w:line="360" w:lineRule="auto"/>
        <w:ind w:firstLine="560" w:firstLineChars="200"/>
        <w:rPr>
          <w:rFonts w:hint="eastAsia" w:asciiTheme="minorEastAsia" w:hAnsiTheme="minorEastAsia"/>
          <w:color w:val="auto"/>
          <w:sz w:val="28"/>
        </w:rPr>
      </w:pPr>
      <w:r>
        <w:rPr>
          <w:rFonts w:hint="eastAsia" w:asciiTheme="minorEastAsia" w:hAnsiTheme="minorEastAsia"/>
          <w:color w:val="auto"/>
          <w:sz w:val="28"/>
        </w:rPr>
        <w:t>组长：余建星</w:t>
      </w:r>
    </w:p>
    <w:p w14:paraId="5D645FB5">
      <w:pPr>
        <w:spacing w:line="360" w:lineRule="auto"/>
        <w:ind w:firstLine="560" w:firstLineChars="200"/>
        <w:rPr>
          <w:rFonts w:hint="eastAsia" w:asciiTheme="minorEastAsia" w:hAnsiTheme="minorEastAsia"/>
          <w:color w:val="auto"/>
          <w:sz w:val="28"/>
        </w:rPr>
      </w:pPr>
      <w:r>
        <w:rPr>
          <w:rFonts w:hint="eastAsia" w:asciiTheme="minorEastAsia" w:hAnsiTheme="minorEastAsia"/>
          <w:color w:val="auto"/>
          <w:sz w:val="28"/>
        </w:rPr>
        <w:t>副组长：黄焱</w:t>
      </w:r>
    </w:p>
    <w:p w14:paraId="6EB889B4">
      <w:pPr>
        <w:spacing w:line="360" w:lineRule="auto"/>
        <w:ind w:firstLine="560" w:firstLineChars="200"/>
        <w:rPr>
          <w:rFonts w:hint="eastAsia" w:asciiTheme="minorEastAsia" w:hAnsiTheme="minorEastAsia"/>
          <w:color w:val="auto"/>
          <w:sz w:val="28"/>
        </w:rPr>
      </w:pPr>
      <w:r>
        <w:rPr>
          <w:rFonts w:hint="eastAsia" w:asciiTheme="minorEastAsia" w:hAnsiTheme="minorEastAsia"/>
          <w:color w:val="auto"/>
          <w:sz w:val="28"/>
        </w:rPr>
        <w:t>成员：杨树耕  黄衍顺</w:t>
      </w:r>
    </w:p>
    <w:p w14:paraId="3887AE42">
      <w:pPr>
        <w:pStyle w:val="8"/>
        <w:spacing w:before="0" w:beforeAutospacing="0" w:after="0" w:afterAutospacing="0" w:line="360" w:lineRule="auto"/>
        <w:ind w:firstLine="480"/>
        <w:rPr>
          <w:rFonts w:hint="eastAsia" w:ascii="黑体" w:hAnsi="黑体" w:eastAsia="黑体"/>
          <w:color w:val="auto"/>
          <w:sz w:val="28"/>
        </w:rPr>
      </w:pPr>
      <w:r>
        <w:rPr>
          <w:rStyle w:val="13"/>
          <w:rFonts w:hint="eastAsia" w:ascii="黑体" w:hAnsi="黑体" w:eastAsia="黑体" w:cs="Times New Roman"/>
          <w:color w:val="auto"/>
          <w:sz w:val="28"/>
        </w:rPr>
        <w:t>三、推荐基本条件</w:t>
      </w:r>
    </w:p>
    <w:p w14:paraId="4834FB29">
      <w:pPr>
        <w:pStyle w:val="8"/>
        <w:spacing w:before="0" w:beforeAutospacing="0" w:after="0" w:afterAutospacing="0" w:line="360" w:lineRule="auto"/>
        <w:ind w:firstLine="560" w:firstLineChars="200"/>
        <w:rPr>
          <w:rFonts w:hint="eastAsia" w:cs="Times New Roman" w:asciiTheme="minorEastAsia" w:hAnsiTheme="minorEastAsia" w:eastAsiaTheme="minorEastAsia"/>
          <w:color w:val="auto"/>
          <w:sz w:val="28"/>
        </w:rPr>
      </w:pPr>
      <w:r>
        <w:rPr>
          <w:rFonts w:hint="eastAsia" w:cs="Times New Roman" w:asciiTheme="minorEastAsia" w:hAnsiTheme="minorEastAsia" w:eastAsiaTheme="minorEastAsia"/>
          <w:color w:val="auto"/>
          <w:sz w:val="28"/>
        </w:rPr>
        <w:t>1、</w:t>
      </w:r>
      <w:r>
        <w:rPr>
          <w:rFonts w:hint="eastAsia" w:cs="Times New Roman" w:asciiTheme="minorEastAsia" w:hAnsiTheme="minorEastAsia" w:eastAsiaTheme="minorEastAsia"/>
          <w:color w:val="auto"/>
          <w:sz w:val="28"/>
          <w:szCs w:val="28"/>
        </w:rPr>
        <w:t>学院</w:t>
      </w:r>
      <w:r>
        <w:rPr>
          <w:rFonts w:hint="eastAsia" w:cs="仿宋_GB2312" w:asciiTheme="minorEastAsia" w:hAnsiTheme="minorEastAsia" w:eastAsiaTheme="minorEastAsia"/>
          <w:color w:val="auto"/>
          <w:sz w:val="28"/>
          <w:szCs w:val="28"/>
        </w:rPr>
        <w:t>应届本科毕业生（本科录取须纳入国家普通高等教育招生计划或内地高校面向港澳台侨招生范围，不含专升本、第二学士学位、独立学院学生）</w:t>
      </w:r>
      <w:r>
        <w:rPr>
          <w:rFonts w:hint="eastAsia" w:cs="Times New Roman" w:asciiTheme="minorEastAsia" w:hAnsiTheme="minorEastAsia" w:eastAsiaTheme="minorEastAsia"/>
          <w:color w:val="auto"/>
          <w:sz w:val="28"/>
          <w:szCs w:val="28"/>
        </w:rPr>
        <w:t>。</w:t>
      </w:r>
    </w:p>
    <w:p w14:paraId="33941DED">
      <w:pPr>
        <w:pStyle w:val="8"/>
        <w:spacing w:before="0" w:beforeAutospacing="0" w:after="0" w:afterAutospacing="0" w:line="360" w:lineRule="auto"/>
        <w:ind w:firstLine="560" w:firstLineChars="200"/>
        <w:rPr>
          <w:rFonts w:hint="eastAsia" w:cs="Times New Roman" w:asciiTheme="minorEastAsia" w:hAnsiTheme="minorEastAsia" w:eastAsiaTheme="minorEastAsia"/>
          <w:color w:val="auto"/>
          <w:sz w:val="28"/>
        </w:rPr>
      </w:pPr>
      <w:r>
        <w:rPr>
          <w:rFonts w:hint="eastAsia" w:cs="Times New Roman" w:asciiTheme="minorEastAsia" w:hAnsiTheme="minorEastAsia" w:eastAsiaTheme="minorEastAsia"/>
          <w:color w:val="auto"/>
          <w:sz w:val="28"/>
        </w:rPr>
        <w:t>2、具有高尚的爱国主义情操和集体主义精神，社会主义信念坚定，政治思想端正，社会责任感强，服务意识强，遵纪守法，积极向上，身心健康。</w:t>
      </w:r>
    </w:p>
    <w:p w14:paraId="544CD241">
      <w:pPr>
        <w:pStyle w:val="8"/>
        <w:spacing w:before="0" w:beforeAutospacing="0" w:after="0" w:afterAutospacing="0" w:line="360" w:lineRule="auto"/>
        <w:ind w:firstLine="560" w:firstLineChars="200"/>
        <w:rPr>
          <w:rFonts w:hint="eastAsia" w:cs="Times New Roman" w:asciiTheme="minorEastAsia" w:hAnsiTheme="minorEastAsia" w:eastAsiaTheme="minorEastAsia"/>
          <w:color w:val="auto"/>
          <w:sz w:val="28"/>
        </w:rPr>
      </w:pPr>
      <w:r>
        <w:rPr>
          <w:rFonts w:hint="eastAsia" w:cs="Times New Roman" w:asciiTheme="minorEastAsia" w:hAnsiTheme="minorEastAsia" w:eastAsiaTheme="minorEastAsia"/>
          <w:color w:val="auto"/>
          <w:sz w:val="28"/>
        </w:rPr>
        <w:t>3、诚实守信，学风端正，被推荐学生在校学习期间未因违反学业诚信行为受到过纪律处分，且无其他尚未解除的校纪校规处分。</w:t>
      </w:r>
    </w:p>
    <w:p w14:paraId="222AFA8E">
      <w:pPr>
        <w:pStyle w:val="8"/>
        <w:spacing w:before="0" w:beforeAutospacing="0" w:after="0" w:afterAutospacing="0" w:line="360" w:lineRule="auto"/>
        <w:ind w:firstLine="560" w:firstLineChars="200"/>
        <w:rPr>
          <w:rFonts w:hint="eastAsia" w:cs="Times New Roman" w:asciiTheme="minorEastAsia" w:hAnsiTheme="minorEastAsia" w:eastAsiaTheme="minorEastAsia"/>
          <w:color w:val="auto"/>
          <w:sz w:val="28"/>
        </w:rPr>
      </w:pPr>
      <w:r>
        <w:rPr>
          <w:rFonts w:hint="eastAsia" w:cs="Times New Roman" w:asciiTheme="minorEastAsia" w:hAnsiTheme="minorEastAsia" w:eastAsiaTheme="minorEastAsia"/>
          <w:color w:val="auto"/>
          <w:sz w:val="28"/>
        </w:rPr>
        <w:t>4、勤奋学习，刻苦钻研，成绩优秀；学术研究兴趣浓厚，有较强的创新意识、创新能力和专业素质。</w:t>
      </w:r>
    </w:p>
    <w:p w14:paraId="65DAE57C">
      <w:pPr>
        <w:pStyle w:val="8"/>
        <w:spacing w:before="0" w:beforeAutospacing="0" w:after="0" w:afterAutospacing="0" w:line="360" w:lineRule="auto"/>
        <w:ind w:firstLine="560" w:firstLineChars="200"/>
        <w:rPr>
          <w:rFonts w:hint="eastAsia" w:cs="Times New Roman" w:asciiTheme="minorEastAsia" w:hAnsiTheme="minorEastAsia" w:eastAsiaTheme="minorEastAsia"/>
          <w:color w:val="auto"/>
          <w:sz w:val="28"/>
        </w:rPr>
      </w:pPr>
      <w:r>
        <w:rPr>
          <w:rFonts w:hint="eastAsia" w:cs="Times New Roman" w:asciiTheme="minorEastAsia" w:hAnsiTheme="minorEastAsia" w:eastAsiaTheme="minorEastAsia"/>
          <w:color w:val="auto"/>
          <w:sz w:val="28"/>
        </w:rPr>
        <w:t>5、原则上要求全国大学英语四级考试分数达到425分及以上。</w:t>
      </w:r>
      <w:r>
        <w:rPr>
          <w:rFonts w:hint="eastAsia" w:asciiTheme="minorEastAsia" w:hAnsiTheme="minorEastAsia" w:eastAsiaTheme="minorEastAsia"/>
          <w:bCs/>
          <w:color w:val="auto"/>
          <w:sz w:val="28"/>
          <w:szCs w:val="32"/>
        </w:rPr>
        <w:t>若</w:t>
      </w:r>
      <w:r>
        <w:rPr>
          <w:rFonts w:asciiTheme="minorEastAsia" w:hAnsiTheme="minorEastAsia" w:eastAsiaTheme="minorEastAsia"/>
          <w:bCs/>
          <w:color w:val="auto"/>
          <w:sz w:val="28"/>
          <w:szCs w:val="32"/>
        </w:rPr>
        <w:t>四级分数低于425分</w:t>
      </w:r>
      <w:r>
        <w:rPr>
          <w:rFonts w:hint="eastAsia" w:asciiTheme="minorEastAsia" w:hAnsiTheme="minorEastAsia" w:eastAsiaTheme="minorEastAsia"/>
          <w:bCs/>
          <w:color w:val="auto"/>
          <w:sz w:val="28"/>
          <w:szCs w:val="32"/>
        </w:rPr>
        <w:t>，</w:t>
      </w:r>
      <w:r>
        <w:rPr>
          <w:rFonts w:asciiTheme="minorEastAsia" w:hAnsiTheme="minorEastAsia" w:eastAsiaTheme="minorEastAsia"/>
          <w:bCs/>
          <w:color w:val="auto"/>
          <w:sz w:val="28"/>
          <w:szCs w:val="32"/>
        </w:rPr>
        <w:t>学院将组织对学生进行英语水平确认。</w:t>
      </w:r>
    </w:p>
    <w:p w14:paraId="19A2C654">
      <w:pPr>
        <w:pStyle w:val="8"/>
        <w:spacing w:before="0" w:beforeAutospacing="0" w:after="0" w:afterAutospacing="0" w:line="360" w:lineRule="auto"/>
        <w:ind w:firstLine="560" w:firstLineChars="200"/>
        <w:rPr>
          <w:rFonts w:hint="eastAsia" w:asciiTheme="minorEastAsia" w:hAnsiTheme="minorEastAsia" w:eastAsiaTheme="minorEastAsia"/>
          <w:bCs/>
          <w:color w:val="auto"/>
          <w:sz w:val="28"/>
          <w:szCs w:val="28"/>
        </w:rPr>
      </w:pPr>
      <w:r>
        <w:rPr>
          <w:rFonts w:hint="eastAsia" w:cs="Times New Roman" w:asciiTheme="minorEastAsia" w:hAnsiTheme="minorEastAsia" w:eastAsiaTheme="minorEastAsia"/>
          <w:color w:val="auto"/>
          <w:sz w:val="28"/>
        </w:rPr>
        <w:t>6、</w:t>
      </w:r>
      <w:r>
        <w:rPr>
          <w:rFonts w:asciiTheme="minorEastAsia" w:hAnsiTheme="minorEastAsia" w:eastAsiaTheme="minorEastAsia"/>
          <w:color w:val="auto"/>
          <w:sz w:val="28"/>
        </w:rPr>
        <w:t>学院依据学校下达的推免生名额综合考虑各学科专业情况将其分配到各专业，各专业</w:t>
      </w:r>
      <w:r>
        <w:rPr>
          <w:rFonts w:asciiTheme="minorEastAsia" w:hAnsiTheme="minorEastAsia" w:eastAsiaTheme="minorEastAsia"/>
          <w:bCs/>
          <w:color w:val="auto"/>
          <w:sz w:val="28"/>
          <w:szCs w:val="28"/>
        </w:rPr>
        <w:t>根据学习成绩的排名，在推免生名额的150%范围内（人数向上取整）确定可申请优秀加分的学生名单。名单内如有放弃推免生资格的学生，名额顺延。</w:t>
      </w:r>
    </w:p>
    <w:p w14:paraId="149F36CC">
      <w:pPr>
        <w:pStyle w:val="8"/>
        <w:spacing w:before="0" w:beforeAutospacing="0" w:after="0" w:afterAutospacing="0" w:line="360" w:lineRule="auto"/>
        <w:ind w:firstLine="560" w:firstLineChars="200"/>
        <w:rPr>
          <w:rFonts w:hint="eastAsia" w:asciiTheme="minorEastAsia" w:hAnsiTheme="minorEastAsia" w:eastAsiaTheme="minorEastAsia"/>
          <w:bCs/>
          <w:color w:val="auto"/>
          <w:sz w:val="28"/>
          <w:szCs w:val="28"/>
        </w:rPr>
      </w:pPr>
      <w:r>
        <w:rPr>
          <w:rFonts w:hint="eastAsia" w:asciiTheme="minorEastAsia" w:hAnsiTheme="minorEastAsia" w:eastAsiaTheme="minorEastAsia"/>
          <w:bCs/>
          <w:color w:val="auto"/>
          <w:sz w:val="28"/>
          <w:szCs w:val="28"/>
        </w:rPr>
        <w:t>7、对品学兼优、热爱祖国，且获得中国国际大学生创新大赛（原中国国际“互联网+”大学生创新创业大赛）、或“挑战杯”全国大学生课外学术科技作品竞赛、或“挑战杯”中国大学生创业计划竞赛、或全国大学生创新创业年会最高奖的团队负责人；在全国学生运动会、全国大学生锦标赛中至少获得1枚金牌及以上成绩，原则上成绩在前60%，符合本办法遴选条件的学生，可申请优秀加分，按照本工作实施细则进行综合考评。</w:t>
      </w:r>
    </w:p>
    <w:p w14:paraId="3B05DF04">
      <w:pPr>
        <w:spacing w:line="360" w:lineRule="auto"/>
        <w:ind w:firstLine="480"/>
        <w:rPr>
          <w:rStyle w:val="13"/>
          <w:rFonts w:hint="eastAsia" w:cs="Times New Roman" w:asciiTheme="minorEastAsia" w:hAnsiTheme="minorEastAsia"/>
          <w:color w:val="auto"/>
          <w:kern w:val="0"/>
          <w:sz w:val="28"/>
          <w:szCs w:val="24"/>
        </w:rPr>
      </w:pPr>
      <w:r>
        <w:rPr>
          <w:rStyle w:val="13"/>
          <w:rFonts w:hint="eastAsia" w:cs="Times New Roman" w:asciiTheme="minorEastAsia" w:hAnsiTheme="minorEastAsia"/>
          <w:color w:val="auto"/>
          <w:kern w:val="0"/>
          <w:sz w:val="28"/>
          <w:szCs w:val="24"/>
        </w:rPr>
        <w:t>四</w:t>
      </w:r>
      <w:r>
        <w:rPr>
          <w:rStyle w:val="13"/>
          <w:rFonts w:cs="Times New Roman" w:asciiTheme="minorEastAsia" w:hAnsiTheme="minorEastAsia"/>
          <w:color w:val="auto"/>
          <w:kern w:val="0"/>
          <w:sz w:val="28"/>
          <w:szCs w:val="24"/>
        </w:rPr>
        <w:t>、</w:t>
      </w:r>
      <w:r>
        <w:rPr>
          <w:rStyle w:val="13"/>
          <w:rFonts w:hint="eastAsia" w:cs="Times New Roman" w:asciiTheme="minorEastAsia" w:hAnsiTheme="minorEastAsia"/>
          <w:color w:val="auto"/>
          <w:kern w:val="0"/>
          <w:sz w:val="28"/>
          <w:szCs w:val="24"/>
        </w:rPr>
        <w:t>推免</w:t>
      </w:r>
      <w:r>
        <w:rPr>
          <w:rStyle w:val="13"/>
          <w:rFonts w:cs="Times New Roman" w:asciiTheme="minorEastAsia" w:hAnsiTheme="minorEastAsia"/>
          <w:color w:val="auto"/>
          <w:kern w:val="0"/>
          <w:sz w:val="28"/>
          <w:szCs w:val="24"/>
        </w:rPr>
        <w:t>成绩组成</w:t>
      </w:r>
    </w:p>
    <w:p w14:paraId="6B496B0D">
      <w:pPr>
        <w:spacing w:line="300" w:lineRule="auto"/>
        <w:ind w:firstLine="560" w:firstLineChars="200"/>
        <w:contextualSpacing/>
        <w:jc w:val="left"/>
        <w:rPr>
          <w:rFonts w:hint="eastAsia" w:asciiTheme="minorEastAsia" w:hAnsiTheme="minorEastAsia"/>
          <w:bCs/>
          <w:color w:val="auto"/>
          <w:sz w:val="28"/>
          <w:szCs w:val="28"/>
        </w:rPr>
      </w:pPr>
      <w:r>
        <w:rPr>
          <w:rFonts w:hint="eastAsia" w:asciiTheme="minorEastAsia" w:hAnsiTheme="minorEastAsia"/>
          <w:bCs/>
          <w:color w:val="auto"/>
          <w:sz w:val="28"/>
          <w:szCs w:val="28"/>
        </w:rPr>
        <w:t>推免生综合考评成绩包括学习成绩和优秀加分两项，学习成绩按学生课程考核加权平均成绩计算，优秀加分根据学院推免加分评价细则确定。</w:t>
      </w:r>
    </w:p>
    <w:p w14:paraId="7A9CC050">
      <w:pPr>
        <w:spacing w:line="300" w:lineRule="auto"/>
        <w:contextualSpacing/>
        <w:jc w:val="center"/>
        <w:rPr>
          <w:rFonts w:hint="eastAsia" w:asciiTheme="minorEastAsia" w:hAnsiTheme="minorEastAsia"/>
          <w:bCs/>
          <w:color w:val="auto"/>
          <w:sz w:val="28"/>
          <w:szCs w:val="28"/>
        </w:rPr>
      </w:pPr>
      <w:r>
        <w:rPr>
          <w:rFonts w:asciiTheme="minorEastAsia" w:hAnsiTheme="minorEastAsia"/>
          <w:bCs/>
          <w:color w:val="auto"/>
          <w:sz w:val="28"/>
          <w:szCs w:val="28"/>
        </w:rPr>
        <w:t>综合考评</w:t>
      </w:r>
      <w:r>
        <w:rPr>
          <w:rFonts w:hint="eastAsia" w:asciiTheme="minorEastAsia" w:hAnsiTheme="minorEastAsia"/>
          <w:bCs/>
          <w:color w:val="auto"/>
          <w:sz w:val="28"/>
          <w:szCs w:val="28"/>
        </w:rPr>
        <w:t>成绩=（</w:t>
      </w:r>
      <w:r>
        <w:rPr>
          <w:rFonts w:asciiTheme="minorEastAsia" w:hAnsiTheme="minorEastAsia"/>
          <w:bCs/>
          <w:color w:val="auto"/>
          <w:sz w:val="28"/>
          <w:szCs w:val="28"/>
        </w:rPr>
        <w:t>0.7×</w:t>
      </w:r>
      <w:r>
        <w:rPr>
          <w:rFonts w:hint="eastAsia" w:asciiTheme="minorEastAsia" w:hAnsiTheme="minorEastAsia"/>
          <w:bCs/>
          <w:color w:val="auto"/>
          <w:sz w:val="28"/>
          <w:szCs w:val="28"/>
        </w:rPr>
        <w:t>学习成绩+</w:t>
      </w:r>
      <w:r>
        <w:rPr>
          <w:rFonts w:asciiTheme="minorEastAsia" w:hAnsiTheme="minorEastAsia"/>
          <w:bCs/>
          <w:color w:val="auto"/>
          <w:sz w:val="28"/>
          <w:szCs w:val="28"/>
        </w:rPr>
        <w:t>0.3×</w:t>
      </w:r>
      <w:r>
        <w:rPr>
          <w:rFonts w:hint="eastAsia" w:asciiTheme="minorEastAsia" w:hAnsiTheme="minorEastAsia"/>
          <w:bCs/>
          <w:color w:val="auto"/>
          <w:sz w:val="28"/>
          <w:szCs w:val="28"/>
        </w:rPr>
        <w:t>优秀加分）</w:t>
      </w:r>
      <w:r>
        <w:rPr>
          <w:rFonts w:asciiTheme="minorEastAsia" w:hAnsiTheme="minorEastAsia"/>
          <w:bCs/>
          <w:color w:val="auto"/>
          <w:sz w:val="28"/>
          <w:szCs w:val="28"/>
        </w:rPr>
        <w:t>÷0.7</w:t>
      </w:r>
    </w:p>
    <w:p w14:paraId="6A8AC129">
      <w:pPr>
        <w:pStyle w:val="4"/>
        <w:spacing w:line="300" w:lineRule="auto"/>
        <w:ind w:firstLine="560" w:firstLineChars="200"/>
        <w:contextualSpacing/>
        <w:rPr>
          <w:rFonts w:asciiTheme="minorEastAsia" w:hAnsiTheme="minorEastAsia" w:eastAsiaTheme="minorEastAsia"/>
          <w:bCs/>
          <w:color w:val="auto"/>
          <w:sz w:val="28"/>
          <w:szCs w:val="28"/>
        </w:rPr>
      </w:pPr>
      <w:r>
        <w:rPr>
          <w:rFonts w:asciiTheme="minorEastAsia" w:hAnsiTheme="minorEastAsia" w:eastAsiaTheme="minorEastAsia"/>
          <w:bCs/>
          <w:color w:val="auto"/>
          <w:sz w:val="28"/>
          <w:szCs w:val="28"/>
        </w:rPr>
        <w:t>经各专业推免工作专家审核小组审核鉴定最终确认优秀加分成绩后，各专业将计算综合考评成绩，并根据综合考评成绩排名，确认最终推免名单。</w:t>
      </w:r>
    </w:p>
    <w:p w14:paraId="682124B9">
      <w:pPr>
        <w:spacing w:line="360" w:lineRule="auto"/>
        <w:ind w:firstLine="480"/>
        <w:rPr>
          <w:rStyle w:val="13"/>
          <w:rFonts w:hint="eastAsia" w:ascii="黑体" w:hAnsi="黑体" w:eastAsia="黑体" w:cs="Times New Roman"/>
          <w:color w:val="auto"/>
          <w:kern w:val="0"/>
          <w:sz w:val="28"/>
          <w:szCs w:val="24"/>
        </w:rPr>
      </w:pPr>
      <w:r>
        <w:rPr>
          <w:rStyle w:val="13"/>
          <w:rFonts w:ascii="黑体" w:hAnsi="黑体" w:eastAsia="黑体" w:cs="Times New Roman"/>
          <w:color w:val="auto"/>
          <w:kern w:val="0"/>
          <w:sz w:val="28"/>
          <w:szCs w:val="24"/>
        </w:rPr>
        <w:t>五、推免加分评价细则</w:t>
      </w:r>
    </w:p>
    <w:p w14:paraId="5A8ABD73">
      <w:pPr>
        <w:spacing w:line="360" w:lineRule="auto"/>
        <w:ind w:firstLine="480"/>
        <w:rPr>
          <w:rFonts w:hint="eastAsia" w:ascii="宋体" w:hAnsi="宋体" w:eastAsia="宋体"/>
          <w:color w:val="auto"/>
          <w:sz w:val="28"/>
        </w:rPr>
      </w:pPr>
      <w:r>
        <w:rPr>
          <w:rFonts w:hint="eastAsia" w:ascii="宋体" w:hAnsi="宋体" w:eastAsia="宋体"/>
          <w:color w:val="auto"/>
          <w:sz w:val="28"/>
        </w:rPr>
        <w:t>1、优秀加分项包括：参军入伍服兵役、参加志愿服务、到国际组织实习、科研创新成果、竞赛获奖五个部分。</w:t>
      </w:r>
    </w:p>
    <w:p w14:paraId="1792C25E">
      <w:pPr>
        <w:spacing w:line="360" w:lineRule="auto"/>
        <w:ind w:firstLine="480"/>
        <w:rPr>
          <w:rFonts w:hint="eastAsia" w:ascii="宋体" w:hAnsi="宋体" w:eastAsia="宋体"/>
          <w:color w:val="auto"/>
          <w:sz w:val="28"/>
        </w:rPr>
      </w:pPr>
      <w:r>
        <w:rPr>
          <w:rFonts w:hint="eastAsia" w:ascii="宋体" w:hAnsi="宋体" w:eastAsia="宋体"/>
          <w:color w:val="auto"/>
          <w:sz w:val="28"/>
        </w:rPr>
        <w:t>2、优秀加分项单项最高</w:t>
      </w:r>
      <w:r>
        <w:rPr>
          <w:rFonts w:ascii="宋体" w:hAnsi="宋体" w:eastAsia="宋体"/>
          <w:color w:val="auto"/>
          <w:sz w:val="28"/>
        </w:rPr>
        <w:t>2</w:t>
      </w:r>
      <w:r>
        <w:rPr>
          <w:rFonts w:hint="eastAsia" w:ascii="宋体" w:hAnsi="宋体" w:eastAsia="宋体"/>
          <w:color w:val="auto"/>
          <w:sz w:val="28"/>
        </w:rPr>
        <w:t>分，优秀加分项总分最高</w:t>
      </w:r>
      <w:r>
        <w:rPr>
          <w:rFonts w:ascii="宋体" w:hAnsi="宋体" w:eastAsia="宋体"/>
          <w:color w:val="auto"/>
          <w:sz w:val="28"/>
        </w:rPr>
        <w:t>3</w:t>
      </w:r>
      <w:r>
        <w:rPr>
          <w:rFonts w:hint="eastAsia" w:ascii="宋体" w:hAnsi="宋体" w:eastAsia="宋体"/>
          <w:color w:val="auto"/>
          <w:sz w:val="28"/>
        </w:rPr>
        <w:t>分封顶。针对单个加分项有多项加分情况，原则上只取一项，不累计加分，具体由推免工作专家审核小组审核鉴定。未通过审核鉴定或答辩的，不得纳入推免遴选综合评价成绩计算体系。</w:t>
      </w:r>
    </w:p>
    <w:p w14:paraId="74373E9A">
      <w:pPr>
        <w:spacing w:line="360" w:lineRule="auto"/>
        <w:ind w:firstLine="480"/>
        <w:rPr>
          <w:rFonts w:hint="eastAsia" w:ascii="宋体" w:hAnsi="宋体" w:eastAsia="宋体"/>
          <w:color w:val="auto"/>
          <w:sz w:val="24"/>
        </w:rPr>
      </w:pPr>
      <w:r>
        <w:rPr>
          <w:rFonts w:hint="eastAsia" w:ascii="宋体" w:hAnsi="宋体" w:eastAsia="宋体"/>
          <w:color w:val="auto"/>
          <w:sz w:val="28"/>
        </w:rPr>
        <w:t>3、具体加分原则如下：</w:t>
      </w:r>
    </w:p>
    <w:tbl>
      <w:tblPr>
        <w:tblStyle w:val="11"/>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851"/>
        <w:gridCol w:w="2268"/>
        <w:gridCol w:w="4111"/>
      </w:tblGrid>
      <w:tr w14:paraId="33D5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2"/>
            <w:vAlign w:val="center"/>
          </w:tcPr>
          <w:p w14:paraId="06698B77">
            <w:pPr>
              <w:spacing w:line="360" w:lineRule="auto"/>
              <w:jc w:val="center"/>
              <w:rPr>
                <w:rFonts w:hint="eastAsia" w:ascii="宋体" w:hAnsi="宋体" w:eastAsia="宋体"/>
                <w:color w:val="auto"/>
                <w:sz w:val="24"/>
              </w:rPr>
            </w:pPr>
            <w:r>
              <w:rPr>
                <w:rFonts w:ascii="宋体" w:hAnsi="宋体" w:eastAsia="宋体"/>
                <w:color w:val="auto"/>
                <w:sz w:val="24"/>
              </w:rPr>
              <w:t>类别</w:t>
            </w:r>
          </w:p>
        </w:tc>
        <w:tc>
          <w:tcPr>
            <w:tcW w:w="2268" w:type="dxa"/>
            <w:vAlign w:val="center"/>
          </w:tcPr>
          <w:p w14:paraId="1A180EE7">
            <w:pPr>
              <w:spacing w:line="360" w:lineRule="auto"/>
              <w:jc w:val="center"/>
              <w:rPr>
                <w:rFonts w:hint="eastAsia" w:ascii="宋体" w:hAnsi="宋体" w:eastAsia="宋体"/>
                <w:color w:val="auto"/>
                <w:sz w:val="24"/>
              </w:rPr>
            </w:pPr>
            <w:r>
              <w:rPr>
                <w:rFonts w:ascii="宋体" w:hAnsi="宋体" w:eastAsia="宋体"/>
                <w:color w:val="auto"/>
                <w:sz w:val="24"/>
              </w:rPr>
              <w:t>加分分值</w:t>
            </w:r>
          </w:p>
        </w:tc>
        <w:tc>
          <w:tcPr>
            <w:tcW w:w="4111" w:type="dxa"/>
            <w:vAlign w:val="center"/>
          </w:tcPr>
          <w:p w14:paraId="28007003">
            <w:pPr>
              <w:spacing w:line="360" w:lineRule="auto"/>
              <w:jc w:val="center"/>
              <w:rPr>
                <w:rFonts w:hint="eastAsia" w:ascii="宋体" w:hAnsi="宋体" w:eastAsia="宋体"/>
                <w:color w:val="auto"/>
                <w:sz w:val="24"/>
              </w:rPr>
            </w:pPr>
            <w:r>
              <w:rPr>
                <w:rFonts w:ascii="宋体" w:hAnsi="宋体" w:eastAsia="宋体"/>
                <w:color w:val="auto"/>
                <w:sz w:val="24"/>
              </w:rPr>
              <w:t>说明</w:t>
            </w:r>
          </w:p>
        </w:tc>
      </w:tr>
      <w:tr w14:paraId="233F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2"/>
            <w:vAlign w:val="center"/>
          </w:tcPr>
          <w:p w14:paraId="3177DD9A">
            <w:pPr>
              <w:spacing w:line="360" w:lineRule="auto"/>
              <w:jc w:val="center"/>
              <w:rPr>
                <w:rFonts w:hint="eastAsia" w:ascii="宋体" w:hAnsi="宋体" w:eastAsia="宋体"/>
                <w:color w:val="auto"/>
                <w:sz w:val="24"/>
              </w:rPr>
            </w:pPr>
            <w:r>
              <w:rPr>
                <w:rFonts w:ascii="宋体" w:hAnsi="宋体" w:eastAsia="宋体"/>
                <w:color w:val="auto"/>
                <w:sz w:val="24"/>
              </w:rPr>
              <w:t>入伍服兵役</w:t>
            </w:r>
          </w:p>
        </w:tc>
        <w:tc>
          <w:tcPr>
            <w:tcW w:w="2268" w:type="dxa"/>
            <w:vAlign w:val="center"/>
          </w:tcPr>
          <w:p w14:paraId="5E7D2FE4">
            <w:pPr>
              <w:spacing w:line="360" w:lineRule="auto"/>
              <w:jc w:val="center"/>
              <w:rPr>
                <w:rFonts w:hint="eastAsia" w:ascii="宋体" w:hAnsi="宋体" w:eastAsia="宋体"/>
                <w:color w:val="auto"/>
                <w:sz w:val="24"/>
              </w:rPr>
            </w:pPr>
            <w:r>
              <w:rPr>
                <w:rFonts w:ascii="宋体" w:hAnsi="宋体" w:eastAsia="宋体"/>
                <w:color w:val="auto"/>
                <w:sz w:val="24"/>
              </w:rPr>
              <w:t>2</w:t>
            </w:r>
          </w:p>
        </w:tc>
        <w:tc>
          <w:tcPr>
            <w:tcW w:w="4111" w:type="dxa"/>
          </w:tcPr>
          <w:p w14:paraId="03A31A98">
            <w:pPr>
              <w:rPr>
                <w:rFonts w:hint="eastAsia" w:ascii="宋体" w:hAnsi="宋体" w:eastAsia="宋体"/>
                <w:color w:val="auto"/>
                <w:sz w:val="24"/>
              </w:rPr>
            </w:pPr>
            <w:r>
              <w:rPr>
                <w:rFonts w:hint="eastAsia" w:ascii="宋体" w:hAnsi="宋体" w:eastAsia="宋体"/>
                <w:color w:val="auto"/>
                <w:sz w:val="24"/>
              </w:rPr>
              <w:t>在校期间参军入伍，按照规定的服役周期结点退伍或者退役</w:t>
            </w:r>
          </w:p>
        </w:tc>
      </w:tr>
      <w:tr w14:paraId="0988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2"/>
            <w:vAlign w:val="center"/>
          </w:tcPr>
          <w:p w14:paraId="65AA82DF">
            <w:pPr>
              <w:spacing w:line="360" w:lineRule="auto"/>
              <w:jc w:val="center"/>
              <w:rPr>
                <w:rFonts w:hint="eastAsia" w:ascii="宋体" w:hAnsi="宋体" w:eastAsia="宋体"/>
                <w:color w:val="auto"/>
                <w:sz w:val="24"/>
              </w:rPr>
            </w:pPr>
            <w:r>
              <w:rPr>
                <w:rFonts w:ascii="宋体" w:hAnsi="宋体" w:eastAsia="宋体"/>
                <w:color w:val="auto"/>
                <w:sz w:val="24"/>
              </w:rPr>
              <w:t>志愿服务</w:t>
            </w:r>
          </w:p>
        </w:tc>
        <w:tc>
          <w:tcPr>
            <w:tcW w:w="2268" w:type="dxa"/>
            <w:vAlign w:val="center"/>
          </w:tcPr>
          <w:p w14:paraId="596B81D9">
            <w:pPr>
              <w:spacing w:line="360" w:lineRule="auto"/>
              <w:jc w:val="center"/>
              <w:rPr>
                <w:rFonts w:hint="eastAsia" w:ascii="宋体" w:hAnsi="宋体" w:eastAsia="宋体"/>
                <w:color w:val="auto"/>
                <w:sz w:val="24"/>
              </w:rPr>
            </w:pPr>
            <w:r>
              <w:rPr>
                <w:rFonts w:hint="eastAsia" w:ascii="宋体" w:hAnsi="宋体" w:eastAsia="宋体"/>
                <w:color w:val="auto"/>
                <w:sz w:val="24"/>
              </w:rPr>
              <w:t>0</w:t>
            </w:r>
            <w:r>
              <w:rPr>
                <w:rFonts w:ascii="宋体" w:hAnsi="宋体" w:eastAsia="宋体"/>
                <w:color w:val="auto"/>
                <w:sz w:val="24"/>
              </w:rPr>
              <w:t>.1</w:t>
            </w:r>
          </w:p>
        </w:tc>
        <w:tc>
          <w:tcPr>
            <w:tcW w:w="4111" w:type="dxa"/>
            <w:vAlign w:val="center"/>
          </w:tcPr>
          <w:p w14:paraId="0C613DB3">
            <w:pPr>
              <w:rPr>
                <w:rFonts w:hint="eastAsia" w:ascii="宋体" w:hAnsi="宋体" w:eastAsia="宋体"/>
                <w:color w:val="auto"/>
                <w:sz w:val="24"/>
              </w:rPr>
            </w:pPr>
            <w:r>
              <w:rPr>
                <w:rFonts w:ascii="宋体" w:hAnsi="宋体" w:eastAsia="宋体"/>
                <w:color w:val="auto"/>
                <w:sz w:val="24"/>
              </w:rPr>
              <w:t>参加</w:t>
            </w:r>
            <w:r>
              <w:rPr>
                <w:rFonts w:hint="eastAsia" w:ascii="宋体" w:hAnsi="宋体" w:eastAsia="宋体"/>
                <w:color w:val="auto"/>
                <w:sz w:val="24"/>
              </w:rPr>
              <w:t>全国</w:t>
            </w:r>
            <w:r>
              <w:rPr>
                <w:rFonts w:ascii="宋体" w:hAnsi="宋体" w:eastAsia="宋体"/>
                <w:color w:val="auto"/>
                <w:sz w:val="24"/>
              </w:rPr>
              <w:t>性大型活动的志愿服务</w:t>
            </w:r>
          </w:p>
        </w:tc>
      </w:tr>
      <w:tr w14:paraId="18E3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701" w:type="dxa"/>
            <w:gridSpan w:val="2"/>
            <w:vAlign w:val="center"/>
          </w:tcPr>
          <w:p w14:paraId="59FB8DF8">
            <w:pPr>
              <w:spacing w:line="360" w:lineRule="auto"/>
              <w:jc w:val="center"/>
              <w:rPr>
                <w:rFonts w:hint="eastAsia" w:ascii="宋体" w:hAnsi="宋体" w:eastAsia="宋体"/>
                <w:color w:val="auto"/>
                <w:sz w:val="24"/>
              </w:rPr>
            </w:pPr>
            <w:r>
              <w:rPr>
                <w:rFonts w:ascii="宋体" w:hAnsi="宋体" w:eastAsia="宋体"/>
                <w:color w:val="auto"/>
                <w:sz w:val="24"/>
              </w:rPr>
              <w:t>国际组织实习</w:t>
            </w:r>
          </w:p>
        </w:tc>
        <w:tc>
          <w:tcPr>
            <w:tcW w:w="2268" w:type="dxa"/>
            <w:vAlign w:val="center"/>
          </w:tcPr>
          <w:p w14:paraId="22823B70">
            <w:pPr>
              <w:spacing w:line="360" w:lineRule="auto"/>
              <w:jc w:val="center"/>
              <w:rPr>
                <w:rFonts w:hint="eastAsia" w:ascii="宋体" w:hAnsi="宋体" w:eastAsia="宋体"/>
                <w:color w:val="auto"/>
                <w:sz w:val="24"/>
              </w:rPr>
            </w:pPr>
            <w:r>
              <w:rPr>
                <w:rFonts w:ascii="宋体" w:hAnsi="宋体" w:eastAsia="宋体"/>
                <w:color w:val="auto"/>
                <w:sz w:val="24"/>
              </w:rPr>
              <w:t>0.6</w:t>
            </w:r>
          </w:p>
        </w:tc>
        <w:tc>
          <w:tcPr>
            <w:tcW w:w="4111" w:type="dxa"/>
            <w:vAlign w:val="center"/>
          </w:tcPr>
          <w:p w14:paraId="792EF114">
            <w:pPr>
              <w:spacing w:line="360" w:lineRule="auto"/>
              <w:rPr>
                <w:rFonts w:hint="eastAsia" w:ascii="宋体" w:hAnsi="宋体" w:eastAsia="宋体"/>
                <w:color w:val="auto"/>
                <w:sz w:val="24"/>
              </w:rPr>
            </w:pPr>
            <w:r>
              <w:rPr>
                <w:rFonts w:ascii="宋体" w:hAnsi="宋体" w:eastAsia="宋体"/>
                <w:color w:val="auto"/>
                <w:sz w:val="24"/>
              </w:rPr>
              <w:t>参加国际组织实习</w:t>
            </w:r>
          </w:p>
        </w:tc>
      </w:tr>
      <w:tr w14:paraId="4754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vAlign w:val="center"/>
          </w:tcPr>
          <w:p w14:paraId="6D59E049">
            <w:pPr>
              <w:spacing w:line="360" w:lineRule="auto"/>
              <w:jc w:val="center"/>
              <w:rPr>
                <w:rFonts w:hint="eastAsia" w:ascii="宋体" w:hAnsi="宋体" w:eastAsia="宋体"/>
                <w:color w:val="auto"/>
                <w:sz w:val="24"/>
              </w:rPr>
            </w:pPr>
            <w:r>
              <w:rPr>
                <w:rFonts w:ascii="宋体" w:hAnsi="宋体" w:eastAsia="宋体"/>
                <w:color w:val="auto"/>
                <w:sz w:val="24"/>
              </w:rPr>
              <w:t>科研创新成果</w:t>
            </w:r>
          </w:p>
        </w:tc>
        <w:tc>
          <w:tcPr>
            <w:tcW w:w="851" w:type="dxa"/>
            <w:vAlign w:val="center"/>
          </w:tcPr>
          <w:p w14:paraId="2BFE4350">
            <w:pPr>
              <w:spacing w:line="360" w:lineRule="auto"/>
              <w:jc w:val="center"/>
              <w:rPr>
                <w:rFonts w:hint="eastAsia" w:ascii="宋体" w:hAnsi="宋体" w:eastAsia="宋体"/>
                <w:color w:val="auto"/>
                <w:sz w:val="24"/>
              </w:rPr>
            </w:pPr>
            <w:r>
              <w:rPr>
                <w:rFonts w:ascii="宋体" w:hAnsi="宋体" w:eastAsia="宋体"/>
                <w:color w:val="auto"/>
                <w:sz w:val="24"/>
              </w:rPr>
              <w:t>论文</w:t>
            </w:r>
          </w:p>
        </w:tc>
        <w:tc>
          <w:tcPr>
            <w:tcW w:w="2268" w:type="dxa"/>
            <w:vAlign w:val="center"/>
          </w:tcPr>
          <w:p w14:paraId="54691207">
            <w:pPr>
              <w:spacing w:line="360" w:lineRule="auto"/>
              <w:jc w:val="center"/>
              <w:rPr>
                <w:rFonts w:hint="eastAsia" w:ascii="宋体" w:hAnsi="宋体" w:eastAsia="宋体"/>
                <w:color w:val="auto"/>
                <w:sz w:val="24"/>
              </w:rPr>
            </w:pPr>
            <w:r>
              <w:rPr>
                <w:rFonts w:ascii="宋体" w:hAnsi="宋体" w:eastAsia="宋体"/>
                <w:color w:val="auto"/>
                <w:sz w:val="24"/>
              </w:rPr>
              <w:t>0.6</w:t>
            </w:r>
          </w:p>
        </w:tc>
        <w:tc>
          <w:tcPr>
            <w:tcW w:w="4111" w:type="dxa"/>
          </w:tcPr>
          <w:p w14:paraId="7F84F345">
            <w:pPr>
              <w:rPr>
                <w:rFonts w:hint="eastAsia" w:ascii="宋体" w:hAnsi="宋体" w:eastAsia="宋体"/>
                <w:color w:val="auto"/>
                <w:sz w:val="24"/>
              </w:rPr>
            </w:pPr>
            <w:r>
              <w:rPr>
                <w:rFonts w:hint="eastAsia" w:ascii="宋体" w:hAnsi="宋体" w:eastAsia="宋体"/>
                <w:color w:val="auto"/>
                <w:sz w:val="24"/>
              </w:rPr>
              <w:t>原则上仅限学生本科阶段</w:t>
            </w:r>
            <w:r>
              <w:rPr>
                <w:rFonts w:hint="eastAsia" w:ascii="Times New Roman" w:hAnsi="Times New Roman" w:cs="Times New Roman"/>
                <w:color w:val="auto"/>
                <w:sz w:val="24"/>
                <w:szCs w:val="21"/>
              </w:rPr>
              <w:t>以独立作者或第一作者发表的与学业相关的科研论文</w:t>
            </w:r>
          </w:p>
        </w:tc>
      </w:tr>
      <w:tr w14:paraId="1B73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06980DB0">
            <w:pPr>
              <w:spacing w:line="360" w:lineRule="auto"/>
              <w:jc w:val="center"/>
              <w:rPr>
                <w:rFonts w:hint="eastAsia" w:ascii="宋体" w:hAnsi="宋体" w:eastAsia="宋体"/>
                <w:color w:val="auto"/>
                <w:sz w:val="24"/>
              </w:rPr>
            </w:pPr>
          </w:p>
        </w:tc>
        <w:tc>
          <w:tcPr>
            <w:tcW w:w="851" w:type="dxa"/>
            <w:vAlign w:val="center"/>
          </w:tcPr>
          <w:p w14:paraId="1251C406">
            <w:pPr>
              <w:spacing w:line="360" w:lineRule="auto"/>
              <w:jc w:val="center"/>
              <w:rPr>
                <w:rFonts w:hint="eastAsia" w:ascii="宋体" w:hAnsi="宋体" w:eastAsia="宋体"/>
                <w:color w:val="auto"/>
                <w:sz w:val="24"/>
              </w:rPr>
            </w:pPr>
            <w:r>
              <w:rPr>
                <w:rFonts w:ascii="宋体" w:hAnsi="宋体" w:eastAsia="宋体"/>
                <w:color w:val="auto"/>
                <w:sz w:val="24"/>
              </w:rPr>
              <w:t>专利</w:t>
            </w:r>
          </w:p>
        </w:tc>
        <w:tc>
          <w:tcPr>
            <w:tcW w:w="2268" w:type="dxa"/>
            <w:vAlign w:val="center"/>
          </w:tcPr>
          <w:p w14:paraId="65D9DEAA">
            <w:pPr>
              <w:spacing w:line="360" w:lineRule="auto"/>
              <w:jc w:val="center"/>
              <w:rPr>
                <w:rFonts w:hint="eastAsia" w:ascii="宋体" w:hAnsi="宋体" w:eastAsia="宋体"/>
                <w:color w:val="auto"/>
                <w:sz w:val="24"/>
              </w:rPr>
            </w:pPr>
            <w:r>
              <w:rPr>
                <w:rFonts w:ascii="宋体" w:hAnsi="宋体" w:eastAsia="宋体"/>
                <w:color w:val="auto"/>
                <w:sz w:val="24"/>
              </w:rPr>
              <w:t>0.6</w:t>
            </w:r>
          </w:p>
        </w:tc>
        <w:tc>
          <w:tcPr>
            <w:tcW w:w="4111" w:type="dxa"/>
          </w:tcPr>
          <w:p w14:paraId="723FFA58">
            <w:pPr>
              <w:rPr>
                <w:rFonts w:hint="eastAsia" w:ascii="宋体" w:hAnsi="宋体" w:eastAsia="宋体"/>
                <w:color w:val="auto"/>
                <w:sz w:val="24"/>
              </w:rPr>
            </w:pPr>
            <w:r>
              <w:rPr>
                <w:rFonts w:hint="eastAsia" w:ascii="宋体" w:hAnsi="宋体" w:eastAsia="宋体"/>
                <w:color w:val="auto"/>
                <w:sz w:val="24"/>
              </w:rPr>
              <w:t>原则上仅限学生本科阶段以第一发明人授权的与学业相关的发明专利</w:t>
            </w:r>
          </w:p>
        </w:tc>
      </w:tr>
      <w:tr w14:paraId="362B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4A3C9DE9">
            <w:pPr>
              <w:spacing w:line="360" w:lineRule="auto"/>
              <w:jc w:val="center"/>
              <w:rPr>
                <w:rFonts w:hint="eastAsia" w:ascii="宋体" w:hAnsi="宋体" w:eastAsia="宋体"/>
                <w:color w:val="auto"/>
                <w:sz w:val="24"/>
              </w:rPr>
            </w:pPr>
          </w:p>
        </w:tc>
        <w:tc>
          <w:tcPr>
            <w:tcW w:w="851" w:type="dxa"/>
            <w:vAlign w:val="center"/>
          </w:tcPr>
          <w:p w14:paraId="1282C59F">
            <w:pPr>
              <w:spacing w:line="360" w:lineRule="auto"/>
              <w:jc w:val="center"/>
              <w:rPr>
                <w:rFonts w:hint="eastAsia" w:ascii="宋体" w:hAnsi="宋体" w:eastAsia="宋体"/>
                <w:color w:val="auto"/>
                <w:sz w:val="24"/>
              </w:rPr>
            </w:pPr>
            <w:r>
              <w:rPr>
                <w:rFonts w:ascii="宋体" w:hAnsi="宋体" w:eastAsia="宋体"/>
                <w:color w:val="auto"/>
                <w:sz w:val="24"/>
              </w:rPr>
              <w:t>科技获奖</w:t>
            </w:r>
          </w:p>
        </w:tc>
        <w:tc>
          <w:tcPr>
            <w:tcW w:w="2268" w:type="dxa"/>
            <w:vAlign w:val="center"/>
          </w:tcPr>
          <w:p w14:paraId="3DE40D4C">
            <w:pPr>
              <w:spacing w:line="360" w:lineRule="auto"/>
              <w:jc w:val="center"/>
              <w:rPr>
                <w:rFonts w:hint="eastAsia" w:ascii="宋体" w:hAnsi="宋体" w:eastAsia="宋体"/>
                <w:color w:val="auto"/>
                <w:sz w:val="24"/>
              </w:rPr>
            </w:pPr>
            <w:r>
              <w:rPr>
                <w:rFonts w:ascii="宋体" w:hAnsi="宋体" w:eastAsia="宋体"/>
                <w:color w:val="auto"/>
                <w:sz w:val="24"/>
              </w:rPr>
              <w:t>0.6</w:t>
            </w:r>
          </w:p>
        </w:tc>
        <w:tc>
          <w:tcPr>
            <w:tcW w:w="4111" w:type="dxa"/>
          </w:tcPr>
          <w:p w14:paraId="70DF00B6">
            <w:pPr>
              <w:rPr>
                <w:rFonts w:hint="eastAsia" w:ascii="宋体" w:hAnsi="宋体" w:eastAsia="宋体"/>
                <w:color w:val="auto"/>
                <w:sz w:val="24"/>
              </w:rPr>
            </w:pPr>
            <w:r>
              <w:rPr>
                <w:rFonts w:ascii="宋体" w:hAnsi="宋体" w:eastAsia="宋体"/>
                <w:color w:val="auto"/>
                <w:sz w:val="24"/>
              </w:rPr>
              <w:t>原则上仅限省部级一等奖</w:t>
            </w:r>
            <w:r>
              <w:rPr>
                <w:rFonts w:hint="eastAsia" w:ascii="宋体" w:hAnsi="宋体" w:eastAsia="宋体"/>
                <w:color w:val="auto"/>
                <w:sz w:val="24"/>
              </w:rPr>
              <w:t>及</w:t>
            </w:r>
            <w:r>
              <w:rPr>
                <w:rFonts w:ascii="宋体" w:hAnsi="宋体" w:eastAsia="宋体"/>
                <w:color w:val="auto"/>
                <w:sz w:val="24"/>
              </w:rPr>
              <w:t>以上的自然科学奖</w:t>
            </w:r>
            <w:r>
              <w:rPr>
                <w:rFonts w:hint="eastAsia" w:ascii="宋体" w:hAnsi="宋体" w:eastAsia="宋体"/>
                <w:color w:val="auto"/>
                <w:sz w:val="24"/>
              </w:rPr>
              <w:t>、</w:t>
            </w:r>
            <w:r>
              <w:rPr>
                <w:rFonts w:ascii="宋体" w:hAnsi="宋体" w:eastAsia="宋体"/>
                <w:color w:val="auto"/>
                <w:sz w:val="24"/>
              </w:rPr>
              <w:t>技术发明奖</w:t>
            </w:r>
            <w:r>
              <w:rPr>
                <w:rFonts w:hint="eastAsia" w:ascii="宋体" w:hAnsi="宋体" w:eastAsia="宋体"/>
                <w:color w:val="auto"/>
                <w:sz w:val="24"/>
              </w:rPr>
              <w:t>、</w:t>
            </w:r>
            <w:r>
              <w:rPr>
                <w:rFonts w:ascii="宋体" w:hAnsi="宋体" w:eastAsia="宋体"/>
                <w:color w:val="auto"/>
                <w:sz w:val="24"/>
              </w:rPr>
              <w:t>科技进步奖</w:t>
            </w:r>
            <w:r>
              <w:rPr>
                <w:rFonts w:hint="eastAsia" w:ascii="宋体" w:hAnsi="宋体" w:eastAsia="宋体"/>
                <w:color w:val="auto"/>
                <w:sz w:val="24"/>
              </w:rPr>
              <w:t>，</w:t>
            </w:r>
            <w:r>
              <w:rPr>
                <w:rFonts w:ascii="宋体" w:hAnsi="宋体" w:eastAsia="宋体"/>
                <w:color w:val="auto"/>
                <w:sz w:val="24"/>
              </w:rPr>
              <w:t>需有个人证书</w:t>
            </w:r>
          </w:p>
        </w:tc>
      </w:tr>
      <w:tr w14:paraId="0FF2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01" w:type="dxa"/>
            <w:gridSpan w:val="2"/>
            <w:vMerge w:val="restart"/>
            <w:vAlign w:val="center"/>
          </w:tcPr>
          <w:p w14:paraId="33529F44">
            <w:pPr>
              <w:spacing w:line="360" w:lineRule="auto"/>
              <w:jc w:val="center"/>
              <w:rPr>
                <w:rFonts w:hint="eastAsia" w:ascii="宋体" w:hAnsi="宋体" w:eastAsia="宋体"/>
                <w:color w:val="auto"/>
                <w:sz w:val="24"/>
              </w:rPr>
            </w:pPr>
            <w:r>
              <w:rPr>
                <w:rFonts w:ascii="宋体" w:hAnsi="宋体" w:eastAsia="宋体"/>
                <w:color w:val="auto"/>
                <w:sz w:val="24"/>
              </w:rPr>
              <w:t>竞赛获奖</w:t>
            </w:r>
          </w:p>
        </w:tc>
        <w:tc>
          <w:tcPr>
            <w:tcW w:w="2268" w:type="dxa"/>
            <w:vAlign w:val="center"/>
          </w:tcPr>
          <w:p w14:paraId="03B4AF80">
            <w:pPr>
              <w:spacing w:line="360" w:lineRule="auto"/>
              <w:jc w:val="center"/>
              <w:rPr>
                <w:rFonts w:hint="eastAsia" w:ascii="宋体" w:hAnsi="宋体" w:eastAsia="宋体"/>
                <w:color w:val="auto"/>
                <w:sz w:val="24"/>
              </w:rPr>
            </w:pPr>
            <w:r>
              <w:rPr>
                <w:rFonts w:hint="eastAsia" w:ascii="宋体" w:hAnsi="宋体" w:eastAsia="宋体"/>
                <w:color w:val="auto"/>
                <w:sz w:val="24"/>
              </w:rPr>
              <w:t>金奖</w:t>
            </w:r>
            <w:r>
              <w:rPr>
                <w:rFonts w:ascii="宋体" w:hAnsi="宋体" w:eastAsia="宋体"/>
                <w:color w:val="auto"/>
                <w:sz w:val="24"/>
              </w:rPr>
              <w:t>2</w:t>
            </w:r>
            <w:r>
              <w:rPr>
                <w:rFonts w:hint="eastAsia" w:ascii="宋体" w:hAnsi="宋体" w:eastAsia="宋体"/>
                <w:color w:val="auto"/>
                <w:sz w:val="24"/>
              </w:rPr>
              <w:t>分</w:t>
            </w:r>
          </w:p>
        </w:tc>
        <w:tc>
          <w:tcPr>
            <w:tcW w:w="4111" w:type="dxa"/>
            <w:vMerge w:val="restart"/>
            <w:vAlign w:val="center"/>
          </w:tcPr>
          <w:p w14:paraId="45BD7307">
            <w:pPr>
              <w:rPr>
                <w:rFonts w:hint="eastAsia" w:ascii="宋体" w:hAnsi="宋体" w:eastAsia="宋体"/>
                <w:color w:val="auto"/>
                <w:sz w:val="24"/>
              </w:rPr>
            </w:pPr>
            <w:r>
              <w:rPr>
                <w:rFonts w:hint="eastAsia" w:ascii="宋体" w:hAnsi="宋体" w:eastAsia="宋体"/>
                <w:color w:val="auto"/>
                <w:sz w:val="24"/>
              </w:rPr>
              <w:t>此分值为获得“挑战杯”、“中国国际大学生创新创业大赛”奖项排名第1所获分值，排名第2至第5名依次按0.7，0.5，0.3，0.1的系数进行折减，仅取前五名进行奖励。</w:t>
            </w:r>
          </w:p>
        </w:tc>
      </w:tr>
      <w:tr w14:paraId="3137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01" w:type="dxa"/>
            <w:gridSpan w:val="2"/>
            <w:vMerge w:val="continue"/>
            <w:vAlign w:val="center"/>
          </w:tcPr>
          <w:p w14:paraId="6C513601">
            <w:pPr>
              <w:spacing w:line="360" w:lineRule="auto"/>
              <w:jc w:val="center"/>
              <w:rPr>
                <w:rFonts w:hint="eastAsia" w:ascii="宋体" w:hAnsi="宋体" w:eastAsia="宋体"/>
                <w:color w:val="auto"/>
                <w:sz w:val="24"/>
              </w:rPr>
            </w:pPr>
          </w:p>
        </w:tc>
        <w:tc>
          <w:tcPr>
            <w:tcW w:w="2268" w:type="dxa"/>
            <w:vAlign w:val="center"/>
          </w:tcPr>
          <w:p w14:paraId="0291AF37">
            <w:pPr>
              <w:spacing w:line="360" w:lineRule="auto"/>
              <w:jc w:val="center"/>
              <w:rPr>
                <w:rFonts w:hint="eastAsia" w:ascii="宋体" w:hAnsi="宋体" w:eastAsia="宋体"/>
                <w:color w:val="auto"/>
                <w:sz w:val="24"/>
              </w:rPr>
            </w:pPr>
            <w:r>
              <w:rPr>
                <w:rFonts w:hint="eastAsia" w:ascii="宋体" w:hAnsi="宋体" w:eastAsia="宋体"/>
                <w:color w:val="auto"/>
                <w:sz w:val="24"/>
              </w:rPr>
              <w:t>银奖</w:t>
            </w:r>
            <w:r>
              <w:rPr>
                <w:rFonts w:ascii="宋体" w:hAnsi="宋体" w:eastAsia="宋体"/>
                <w:color w:val="auto"/>
                <w:sz w:val="24"/>
              </w:rPr>
              <w:t>1.2</w:t>
            </w:r>
            <w:r>
              <w:rPr>
                <w:rFonts w:hint="eastAsia" w:ascii="宋体" w:hAnsi="宋体" w:eastAsia="宋体"/>
                <w:color w:val="auto"/>
                <w:sz w:val="24"/>
              </w:rPr>
              <w:t>分</w:t>
            </w:r>
          </w:p>
        </w:tc>
        <w:tc>
          <w:tcPr>
            <w:tcW w:w="4111" w:type="dxa"/>
            <w:vMerge w:val="continue"/>
            <w:vAlign w:val="center"/>
          </w:tcPr>
          <w:p w14:paraId="29FB855B">
            <w:pPr>
              <w:rPr>
                <w:rFonts w:hint="eastAsia" w:ascii="宋体" w:hAnsi="宋体" w:eastAsia="宋体"/>
                <w:color w:val="auto"/>
                <w:sz w:val="24"/>
              </w:rPr>
            </w:pPr>
          </w:p>
        </w:tc>
      </w:tr>
      <w:tr w14:paraId="0650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01" w:type="dxa"/>
            <w:gridSpan w:val="2"/>
            <w:vMerge w:val="continue"/>
            <w:vAlign w:val="center"/>
          </w:tcPr>
          <w:p w14:paraId="44B1FB6E">
            <w:pPr>
              <w:spacing w:line="360" w:lineRule="auto"/>
              <w:jc w:val="center"/>
              <w:rPr>
                <w:rFonts w:hint="eastAsia" w:ascii="宋体" w:hAnsi="宋体" w:eastAsia="宋体"/>
                <w:color w:val="auto"/>
                <w:sz w:val="24"/>
              </w:rPr>
            </w:pPr>
          </w:p>
        </w:tc>
        <w:tc>
          <w:tcPr>
            <w:tcW w:w="2268" w:type="dxa"/>
            <w:vAlign w:val="center"/>
          </w:tcPr>
          <w:p w14:paraId="7B07749D">
            <w:pPr>
              <w:spacing w:line="360" w:lineRule="auto"/>
              <w:jc w:val="center"/>
              <w:rPr>
                <w:rFonts w:hint="eastAsia" w:ascii="宋体" w:hAnsi="宋体" w:eastAsia="宋体"/>
                <w:color w:val="auto"/>
                <w:sz w:val="24"/>
              </w:rPr>
            </w:pPr>
            <w:r>
              <w:rPr>
                <w:rFonts w:hint="eastAsia" w:ascii="宋体" w:hAnsi="宋体" w:eastAsia="宋体"/>
                <w:color w:val="auto"/>
                <w:sz w:val="24"/>
              </w:rPr>
              <w:t>铜奖</w:t>
            </w:r>
            <w:r>
              <w:rPr>
                <w:rFonts w:ascii="宋体" w:hAnsi="宋体" w:eastAsia="宋体"/>
                <w:color w:val="auto"/>
                <w:sz w:val="24"/>
              </w:rPr>
              <w:t>0.6</w:t>
            </w:r>
            <w:r>
              <w:rPr>
                <w:rFonts w:hint="eastAsia" w:ascii="宋体" w:hAnsi="宋体" w:eastAsia="宋体"/>
                <w:color w:val="auto"/>
                <w:sz w:val="24"/>
              </w:rPr>
              <w:t>分</w:t>
            </w:r>
          </w:p>
        </w:tc>
        <w:tc>
          <w:tcPr>
            <w:tcW w:w="4111" w:type="dxa"/>
            <w:vMerge w:val="continue"/>
            <w:vAlign w:val="center"/>
          </w:tcPr>
          <w:p w14:paraId="68119A14">
            <w:pPr>
              <w:rPr>
                <w:rFonts w:hint="eastAsia" w:ascii="宋体" w:hAnsi="宋体" w:eastAsia="宋体"/>
                <w:color w:val="auto"/>
                <w:sz w:val="24"/>
              </w:rPr>
            </w:pPr>
          </w:p>
        </w:tc>
      </w:tr>
      <w:tr w14:paraId="59B6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01" w:type="dxa"/>
            <w:gridSpan w:val="2"/>
            <w:vMerge w:val="continue"/>
            <w:vAlign w:val="center"/>
          </w:tcPr>
          <w:p w14:paraId="65AC0F8C">
            <w:pPr>
              <w:spacing w:line="360" w:lineRule="auto"/>
              <w:jc w:val="center"/>
              <w:rPr>
                <w:rFonts w:hint="eastAsia" w:ascii="宋体" w:hAnsi="宋体" w:eastAsia="宋体"/>
                <w:color w:val="auto"/>
                <w:sz w:val="24"/>
              </w:rPr>
            </w:pPr>
          </w:p>
        </w:tc>
        <w:tc>
          <w:tcPr>
            <w:tcW w:w="2268" w:type="dxa"/>
            <w:vAlign w:val="center"/>
          </w:tcPr>
          <w:p w14:paraId="14DD5124">
            <w:pPr>
              <w:spacing w:line="360" w:lineRule="auto"/>
              <w:jc w:val="center"/>
              <w:rPr>
                <w:rFonts w:hint="eastAsia" w:ascii="宋体" w:hAnsi="宋体" w:eastAsia="宋体"/>
                <w:color w:val="auto"/>
                <w:sz w:val="24"/>
              </w:rPr>
            </w:pPr>
            <w:r>
              <w:rPr>
                <w:rFonts w:hint="eastAsia" w:ascii="宋体" w:hAnsi="宋体" w:eastAsia="宋体"/>
                <w:color w:val="auto"/>
                <w:sz w:val="24"/>
              </w:rPr>
              <w:t>最高等级奖</w:t>
            </w:r>
            <w:r>
              <w:rPr>
                <w:rFonts w:ascii="宋体" w:hAnsi="宋体" w:eastAsia="宋体"/>
                <w:color w:val="auto"/>
                <w:sz w:val="24"/>
              </w:rPr>
              <w:t>1.2</w:t>
            </w:r>
            <w:r>
              <w:rPr>
                <w:rFonts w:hint="eastAsia" w:ascii="宋体" w:hAnsi="宋体" w:eastAsia="宋体"/>
                <w:color w:val="auto"/>
                <w:sz w:val="24"/>
              </w:rPr>
              <w:t>分</w:t>
            </w:r>
          </w:p>
        </w:tc>
        <w:tc>
          <w:tcPr>
            <w:tcW w:w="4111" w:type="dxa"/>
            <w:vMerge w:val="restart"/>
            <w:vAlign w:val="center"/>
          </w:tcPr>
          <w:p w14:paraId="097E9F68">
            <w:pPr>
              <w:rPr>
                <w:rFonts w:hint="eastAsia" w:ascii="宋体" w:hAnsi="宋体" w:eastAsia="宋体"/>
                <w:color w:val="auto"/>
                <w:sz w:val="24"/>
              </w:rPr>
            </w:pPr>
            <w:r>
              <w:rPr>
                <w:rFonts w:hint="eastAsia" w:ascii="宋体" w:hAnsi="宋体" w:eastAsia="宋体"/>
                <w:color w:val="auto"/>
                <w:sz w:val="24"/>
              </w:rPr>
              <w:t>此分值为获得国际或全国奖项排名第1所获分值，排名第2至第5名依次按0.7，0.5，0.3，0.1的系数进行折减，仅取前五名进行奖励，全国性比赛地方赛区比赛奖项不在此奖励范围。竞赛列表见附表1。</w:t>
            </w:r>
          </w:p>
        </w:tc>
      </w:tr>
      <w:tr w14:paraId="77E6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01" w:type="dxa"/>
            <w:gridSpan w:val="2"/>
            <w:vMerge w:val="continue"/>
            <w:vAlign w:val="center"/>
          </w:tcPr>
          <w:p w14:paraId="3A9BF3A5">
            <w:pPr>
              <w:spacing w:line="360" w:lineRule="auto"/>
              <w:jc w:val="center"/>
              <w:rPr>
                <w:rFonts w:hint="eastAsia" w:ascii="宋体" w:hAnsi="宋体" w:eastAsia="宋体"/>
                <w:color w:val="auto"/>
                <w:sz w:val="24"/>
              </w:rPr>
            </w:pPr>
          </w:p>
        </w:tc>
        <w:tc>
          <w:tcPr>
            <w:tcW w:w="2268" w:type="dxa"/>
            <w:vAlign w:val="center"/>
          </w:tcPr>
          <w:p w14:paraId="0BDEDD55">
            <w:pPr>
              <w:spacing w:line="360" w:lineRule="auto"/>
              <w:jc w:val="center"/>
              <w:rPr>
                <w:rFonts w:hint="eastAsia" w:ascii="宋体" w:hAnsi="宋体" w:eastAsia="宋体"/>
                <w:color w:val="auto"/>
                <w:sz w:val="24"/>
              </w:rPr>
            </w:pPr>
            <w:r>
              <w:rPr>
                <w:rFonts w:hint="eastAsia" w:ascii="宋体" w:hAnsi="宋体" w:eastAsia="宋体"/>
                <w:color w:val="auto"/>
                <w:sz w:val="24"/>
              </w:rPr>
              <w:t>第二等级奖</w:t>
            </w:r>
            <w:r>
              <w:rPr>
                <w:rFonts w:ascii="宋体" w:hAnsi="宋体" w:eastAsia="宋体"/>
                <w:color w:val="auto"/>
                <w:sz w:val="24"/>
              </w:rPr>
              <w:t>0.6</w:t>
            </w:r>
            <w:r>
              <w:rPr>
                <w:rFonts w:hint="eastAsia" w:ascii="宋体" w:hAnsi="宋体" w:eastAsia="宋体"/>
                <w:color w:val="auto"/>
                <w:sz w:val="24"/>
              </w:rPr>
              <w:t>分</w:t>
            </w:r>
          </w:p>
        </w:tc>
        <w:tc>
          <w:tcPr>
            <w:tcW w:w="4111" w:type="dxa"/>
            <w:vMerge w:val="continue"/>
            <w:vAlign w:val="center"/>
          </w:tcPr>
          <w:p w14:paraId="7FDDB7ED">
            <w:pPr>
              <w:rPr>
                <w:rFonts w:hint="eastAsia" w:ascii="宋体" w:hAnsi="宋体" w:eastAsia="宋体"/>
                <w:color w:val="auto"/>
                <w:sz w:val="24"/>
              </w:rPr>
            </w:pPr>
          </w:p>
        </w:tc>
      </w:tr>
      <w:tr w14:paraId="3A95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01" w:type="dxa"/>
            <w:gridSpan w:val="2"/>
            <w:vMerge w:val="continue"/>
            <w:vAlign w:val="center"/>
          </w:tcPr>
          <w:p w14:paraId="4F6E687A">
            <w:pPr>
              <w:spacing w:line="360" w:lineRule="auto"/>
              <w:jc w:val="center"/>
              <w:rPr>
                <w:rFonts w:hint="eastAsia" w:ascii="宋体" w:hAnsi="宋体" w:eastAsia="宋体"/>
                <w:color w:val="auto"/>
                <w:sz w:val="24"/>
              </w:rPr>
            </w:pPr>
          </w:p>
        </w:tc>
        <w:tc>
          <w:tcPr>
            <w:tcW w:w="2268" w:type="dxa"/>
            <w:vAlign w:val="center"/>
          </w:tcPr>
          <w:p w14:paraId="59AADE78">
            <w:pPr>
              <w:spacing w:line="360" w:lineRule="auto"/>
              <w:jc w:val="center"/>
              <w:rPr>
                <w:rFonts w:hint="eastAsia" w:ascii="宋体" w:hAnsi="宋体" w:eastAsia="宋体"/>
                <w:color w:val="auto"/>
                <w:sz w:val="24"/>
              </w:rPr>
            </w:pPr>
            <w:r>
              <w:rPr>
                <w:rFonts w:hint="eastAsia" w:ascii="宋体" w:hAnsi="宋体" w:eastAsia="宋体"/>
                <w:color w:val="auto"/>
                <w:sz w:val="24"/>
              </w:rPr>
              <w:t>第三等级奖</w:t>
            </w:r>
            <w:r>
              <w:rPr>
                <w:rFonts w:ascii="宋体" w:hAnsi="宋体" w:eastAsia="宋体"/>
                <w:color w:val="auto"/>
                <w:sz w:val="24"/>
              </w:rPr>
              <w:t>0.3</w:t>
            </w:r>
            <w:r>
              <w:rPr>
                <w:rFonts w:hint="eastAsia" w:ascii="宋体" w:hAnsi="宋体" w:eastAsia="宋体"/>
                <w:color w:val="auto"/>
                <w:sz w:val="24"/>
              </w:rPr>
              <w:t>分</w:t>
            </w:r>
          </w:p>
        </w:tc>
        <w:tc>
          <w:tcPr>
            <w:tcW w:w="4111" w:type="dxa"/>
            <w:vMerge w:val="continue"/>
            <w:vAlign w:val="center"/>
          </w:tcPr>
          <w:p w14:paraId="0B258CBF">
            <w:pPr>
              <w:rPr>
                <w:rFonts w:hint="eastAsia" w:ascii="宋体" w:hAnsi="宋体" w:eastAsia="宋体"/>
                <w:color w:val="auto"/>
                <w:sz w:val="24"/>
              </w:rPr>
            </w:pPr>
          </w:p>
        </w:tc>
      </w:tr>
    </w:tbl>
    <w:p w14:paraId="06BDF6C6">
      <w:pPr>
        <w:spacing w:line="360" w:lineRule="auto"/>
        <w:ind w:firstLine="480"/>
        <w:rPr>
          <w:rFonts w:hint="eastAsia" w:ascii="宋体" w:hAnsi="宋体" w:eastAsia="宋体"/>
          <w:color w:val="auto"/>
          <w:sz w:val="24"/>
        </w:rPr>
      </w:pPr>
    </w:p>
    <w:p w14:paraId="40B0BB9C">
      <w:pPr>
        <w:numPr>
          <w:ilvl w:val="0"/>
          <w:numId w:val="1"/>
        </w:numPr>
        <w:ind w:firstLine="560" w:firstLineChars="200"/>
        <w:rPr>
          <w:rFonts w:cs="Times New Roman" w:asciiTheme="minorEastAsia" w:hAnsiTheme="minorEastAsia"/>
          <w:color w:val="auto"/>
          <w:sz w:val="28"/>
          <w:szCs w:val="28"/>
        </w:rPr>
      </w:pPr>
      <w:r>
        <w:rPr>
          <w:rFonts w:hint="eastAsia" w:asciiTheme="minorEastAsia" w:hAnsiTheme="minorEastAsia"/>
          <w:bCs/>
          <w:color w:val="auto"/>
          <w:sz w:val="28"/>
          <w:szCs w:val="28"/>
          <w:lang w:val="en-US" w:eastAsia="zh-CN"/>
        </w:rPr>
        <w:t>竞赛奖励指</w:t>
      </w:r>
      <w:r>
        <w:rPr>
          <w:rFonts w:hint="eastAsia" w:asciiTheme="minorEastAsia" w:hAnsiTheme="minorEastAsia" w:eastAsiaTheme="minorEastAsia"/>
          <w:bCs/>
          <w:color w:val="auto"/>
          <w:sz w:val="28"/>
          <w:szCs w:val="28"/>
        </w:rPr>
        <w:t>作为主力成员参加与学业相关的国内权威科研竞赛（全国赛）并获得三等奖以上奖励（国际赛事参照执行，但不得低于国内赛事相关要求）。</w:t>
      </w:r>
    </w:p>
    <w:p w14:paraId="571A138E">
      <w:pPr>
        <w:ind w:firstLine="560" w:firstLineChars="200"/>
        <w:rPr>
          <w:rFonts w:ascii="Times New Roman" w:hAnsi="Times New Roman" w:cs="Times New Roman"/>
          <w:color w:val="auto"/>
          <w:sz w:val="28"/>
        </w:rPr>
      </w:pPr>
      <w:r>
        <w:rPr>
          <w:rFonts w:ascii="Times New Roman" w:hAnsi="Times New Roman" w:cs="Times New Roman"/>
          <w:color w:val="auto"/>
          <w:sz w:val="28"/>
        </w:rPr>
        <w:t>5</w:t>
      </w:r>
      <w:r>
        <w:rPr>
          <w:rFonts w:hint="eastAsia" w:ascii="Times New Roman" w:hAnsi="Times New Roman" w:cs="Times New Roman"/>
          <w:color w:val="auto"/>
          <w:sz w:val="28"/>
        </w:rPr>
        <w:t>、国际组织清单可查询教育部</w:t>
      </w:r>
      <w:r>
        <w:rPr>
          <w:rFonts w:ascii="Times New Roman" w:hAnsi="Times New Roman" w:cs="Times New Roman"/>
          <w:color w:val="auto"/>
          <w:sz w:val="28"/>
        </w:rPr>
        <w:t>https://gj.ncss.cn/gjzzjs.html或人社部国际组织人才信息服务平台http://www.mohrss.gov.cn/</w:t>
      </w:r>
    </w:p>
    <w:p w14:paraId="1E6D1E28">
      <w:pPr>
        <w:ind w:firstLine="560" w:firstLineChars="200"/>
        <w:rPr>
          <w:rFonts w:ascii="Times New Roman" w:hAnsi="Times New Roman" w:cs="Times New Roman"/>
          <w:color w:val="auto"/>
          <w:sz w:val="28"/>
        </w:rPr>
      </w:pPr>
      <w:r>
        <w:rPr>
          <w:rFonts w:ascii="Times New Roman" w:hAnsi="Times New Roman" w:cs="Times New Roman"/>
          <w:color w:val="auto"/>
          <w:sz w:val="28"/>
        </w:rPr>
        <w:t>6</w:t>
      </w:r>
      <w:r>
        <w:rPr>
          <w:rFonts w:hint="eastAsia" w:ascii="Times New Roman" w:hAnsi="Times New Roman" w:cs="Times New Roman"/>
          <w:color w:val="auto"/>
          <w:sz w:val="28"/>
        </w:rPr>
        <w:t>、学生与直系亲属或学历、职称、职务明显高于本人者合作的科研成果、竞赛奖项等仅作为参考，不纳入学生本人推免遴选综合评价成绩计算体系，同等条件下可优先考虑。</w:t>
      </w:r>
    </w:p>
    <w:p w14:paraId="5B2AA9C3">
      <w:pPr>
        <w:ind w:firstLine="560" w:firstLineChars="200"/>
        <w:rPr>
          <w:rFonts w:ascii="Times New Roman" w:hAnsi="Times New Roman" w:cs="Times New Roman"/>
          <w:color w:val="auto"/>
          <w:sz w:val="28"/>
        </w:rPr>
      </w:pPr>
      <w:r>
        <w:rPr>
          <w:rFonts w:ascii="Times New Roman" w:hAnsi="Times New Roman" w:cs="Times New Roman"/>
          <w:color w:val="auto"/>
          <w:sz w:val="28"/>
        </w:rPr>
        <w:t>7</w:t>
      </w:r>
      <w:r>
        <w:rPr>
          <w:rFonts w:hint="eastAsia" w:ascii="Times New Roman" w:hAnsi="Times New Roman" w:cs="Times New Roman"/>
          <w:color w:val="auto"/>
          <w:sz w:val="28"/>
        </w:rPr>
        <w:t>、</w:t>
      </w:r>
      <w:r>
        <w:rPr>
          <w:rFonts w:ascii="Times New Roman" w:hAnsi="Times New Roman" w:cs="Times New Roman"/>
          <w:color w:val="auto"/>
          <w:sz w:val="28"/>
        </w:rPr>
        <w:t>参加省部级以上重要科研项目研究工作</w:t>
      </w:r>
      <w:r>
        <w:rPr>
          <w:rFonts w:hint="eastAsia" w:ascii="Times New Roman" w:hAnsi="Times New Roman" w:cs="Times New Roman"/>
          <w:color w:val="auto"/>
          <w:sz w:val="28"/>
        </w:rPr>
        <w:t>，</w:t>
      </w:r>
      <w:r>
        <w:rPr>
          <w:rFonts w:ascii="Times New Roman" w:hAnsi="Times New Roman" w:cs="Times New Roman"/>
          <w:color w:val="auto"/>
          <w:sz w:val="28"/>
        </w:rPr>
        <w:t>表现优异</w:t>
      </w:r>
      <w:r>
        <w:rPr>
          <w:rFonts w:hint="eastAsia" w:ascii="Times New Roman" w:hAnsi="Times New Roman" w:cs="Times New Roman"/>
          <w:color w:val="auto"/>
          <w:sz w:val="28"/>
        </w:rPr>
        <w:t>，</w:t>
      </w:r>
      <w:r>
        <w:rPr>
          <w:rFonts w:ascii="Times New Roman" w:hAnsi="Times New Roman" w:cs="Times New Roman"/>
          <w:color w:val="auto"/>
          <w:sz w:val="28"/>
        </w:rPr>
        <w:t>可在同等条件下优先考虑</w:t>
      </w:r>
      <w:r>
        <w:rPr>
          <w:rFonts w:hint="eastAsia" w:ascii="Times New Roman" w:hAnsi="Times New Roman" w:cs="Times New Roman"/>
          <w:color w:val="auto"/>
          <w:sz w:val="28"/>
        </w:rPr>
        <w:t>。</w:t>
      </w:r>
    </w:p>
    <w:p w14:paraId="0EBF97C0">
      <w:pPr>
        <w:spacing w:line="360" w:lineRule="auto"/>
        <w:ind w:firstLine="480"/>
        <w:rPr>
          <w:rStyle w:val="13"/>
          <w:rFonts w:hint="eastAsia" w:ascii="黑体" w:hAnsi="黑体" w:eastAsia="黑体" w:cs="Times New Roman"/>
          <w:b w:val="0"/>
          <w:bCs w:val="0"/>
          <w:color w:val="auto"/>
          <w:kern w:val="0"/>
          <w:sz w:val="28"/>
          <w:szCs w:val="24"/>
        </w:rPr>
      </w:pPr>
      <w:r>
        <w:rPr>
          <w:rStyle w:val="13"/>
          <w:rFonts w:hint="eastAsia" w:ascii="黑体" w:hAnsi="黑体" w:eastAsia="黑体" w:cs="Times New Roman"/>
          <w:b w:val="0"/>
          <w:bCs w:val="0"/>
          <w:color w:val="auto"/>
          <w:kern w:val="0"/>
          <w:sz w:val="28"/>
          <w:szCs w:val="24"/>
        </w:rPr>
        <w:t>六、 推免工作程序</w:t>
      </w:r>
    </w:p>
    <w:p w14:paraId="672D6887">
      <w:pPr>
        <w:spacing w:line="300" w:lineRule="auto"/>
        <w:ind w:firstLine="560" w:firstLineChars="20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此次推免工作分为准备、申报、鉴定答辩和公示4个阶段。</w:t>
      </w:r>
    </w:p>
    <w:p w14:paraId="541003B2">
      <w:pPr>
        <w:pStyle w:val="16"/>
        <w:numPr>
          <w:ilvl w:val="0"/>
          <w:numId w:val="2"/>
        </w:numPr>
        <w:spacing w:line="300" w:lineRule="auto"/>
        <w:ind w:left="0" w:firstLine="56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准备阶段</w:t>
      </w:r>
    </w:p>
    <w:p w14:paraId="056A98C9">
      <w:pPr>
        <w:spacing w:line="300" w:lineRule="auto"/>
        <w:ind w:firstLine="560" w:firstLineChars="20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学院成立推免工作领导小组，按照教育部与天津大学相关规定，制定《天津大学建筑工程学院2025年推荐优秀应届本科毕业生免试攻读研究生工作实施细则》，经党政联席会审议通过后报教务处审核，并于推荐工作启动前在学院内公布。</w:t>
      </w:r>
    </w:p>
    <w:p w14:paraId="657417AE">
      <w:pPr>
        <w:pStyle w:val="16"/>
        <w:numPr>
          <w:ilvl w:val="0"/>
          <w:numId w:val="2"/>
        </w:numPr>
        <w:spacing w:line="300" w:lineRule="auto"/>
        <w:ind w:left="0" w:firstLine="56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申报阶段</w:t>
      </w:r>
    </w:p>
    <w:p w14:paraId="31BD650C">
      <w:pPr>
        <w:spacing w:line="300" w:lineRule="auto"/>
        <w:ind w:firstLine="560" w:firstLineChars="20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符合申请</w:t>
      </w:r>
      <w:r>
        <w:rPr>
          <w:rFonts w:asciiTheme="minorEastAsia" w:hAnsiTheme="minorEastAsia"/>
          <w:bCs/>
          <w:color w:val="auto"/>
          <w:sz w:val="28"/>
          <w:szCs w:val="32"/>
        </w:rPr>
        <w:t>优秀加分的学生</w:t>
      </w:r>
      <w:r>
        <w:rPr>
          <w:rFonts w:hint="eastAsia" w:asciiTheme="minorEastAsia" w:hAnsiTheme="minorEastAsia"/>
          <w:bCs/>
          <w:color w:val="auto"/>
          <w:sz w:val="28"/>
          <w:szCs w:val="32"/>
        </w:rPr>
        <w:t>，需由</w:t>
      </w:r>
      <w:r>
        <w:rPr>
          <w:rFonts w:asciiTheme="minorEastAsia" w:hAnsiTheme="minorEastAsia"/>
          <w:bCs/>
          <w:color w:val="auto"/>
          <w:sz w:val="28"/>
          <w:szCs w:val="32"/>
        </w:rPr>
        <w:t>本人向学院</w:t>
      </w:r>
      <w:r>
        <w:rPr>
          <w:rFonts w:hint="eastAsia" w:asciiTheme="minorEastAsia" w:hAnsiTheme="minorEastAsia"/>
          <w:bCs/>
          <w:color w:val="auto"/>
          <w:sz w:val="28"/>
          <w:szCs w:val="32"/>
        </w:rPr>
        <w:t>提交书面</w:t>
      </w:r>
      <w:r>
        <w:rPr>
          <w:rFonts w:asciiTheme="minorEastAsia" w:hAnsiTheme="minorEastAsia"/>
          <w:bCs/>
          <w:color w:val="auto"/>
          <w:sz w:val="28"/>
          <w:szCs w:val="32"/>
        </w:rPr>
        <w:t>申请，</w:t>
      </w:r>
      <w:r>
        <w:rPr>
          <w:rFonts w:hint="eastAsia" w:asciiTheme="minorEastAsia" w:hAnsiTheme="minorEastAsia"/>
          <w:bCs/>
          <w:color w:val="auto"/>
          <w:sz w:val="28"/>
          <w:szCs w:val="32"/>
        </w:rPr>
        <w:t>并提供相应支撑材料。</w:t>
      </w:r>
    </w:p>
    <w:p w14:paraId="49DA5A58">
      <w:pPr>
        <w:spacing w:line="300" w:lineRule="auto"/>
        <w:ind w:firstLine="560" w:firstLineChars="20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放弃推免生资格的学生需向所在学院提交书面说明，并由学生本人签字确认。</w:t>
      </w:r>
    </w:p>
    <w:p w14:paraId="58C8CBC4">
      <w:pPr>
        <w:pStyle w:val="16"/>
        <w:numPr>
          <w:ilvl w:val="0"/>
          <w:numId w:val="2"/>
        </w:numPr>
        <w:spacing w:line="300" w:lineRule="auto"/>
        <w:ind w:left="0" w:firstLine="56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鉴定答辩阶段</w:t>
      </w:r>
    </w:p>
    <w:p w14:paraId="2A3E0A54">
      <w:pPr>
        <w:spacing w:line="300" w:lineRule="auto"/>
        <w:ind w:firstLine="560" w:firstLineChars="20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学院成立各专业专家审核小组，对申请推免资格学生的</w:t>
      </w:r>
      <w:r>
        <w:rPr>
          <w:rFonts w:hint="eastAsia" w:ascii="宋体" w:hAnsi="宋体" w:eastAsia="宋体"/>
          <w:color w:val="auto"/>
          <w:sz w:val="28"/>
        </w:rPr>
        <w:t>参军入伍服兵役经历、</w:t>
      </w:r>
      <w:r>
        <w:rPr>
          <w:rFonts w:hint="eastAsia" w:asciiTheme="minorEastAsia" w:hAnsiTheme="minorEastAsia"/>
          <w:bCs/>
          <w:color w:val="auto"/>
          <w:sz w:val="28"/>
          <w:szCs w:val="32"/>
        </w:rPr>
        <w:t>志愿服务经历、国际组织实习经历、科研创新成果、论文、竞赛获奖奖项及内容等进行审核鉴定，排除抄袭、造假、冒名及有名无实等情况，并组织相关学生在一定范围内进行公开答辩。对学生提交的多项科研成果实行代表作评价，评价重点聚焦到创新质量和个人贡献。</w:t>
      </w:r>
    </w:p>
    <w:p w14:paraId="291EF01D">
      <w:pPr>
        <w:spacing w:line="300" w:lineRule="auto"/>
        <w:ind w:firstLine="560" w:firstLineChars="20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专家审核小组每位成员都要给出明确审核鉴定意见并签字存档。答辩全程要录音录像，答辩结果要公开公示。通过审核鉴定或答辩的学生特殊学术专长，须在推免系统和学院网站上予以公示。</w:t>
      </w:r>
    </w:p>
    <w:p w14:paraId="22EE59D6">
      <w:pPr>
        <w:pStyle w:val="16"/>
        <w:numPr>
          <w:ilvl w:val="0"/>
          <w:numId w:val="2"/>
        </w:numPr>
        <w:spacing w:line="300" w:lineRule="auto"/>
        <w:ind w:left="0" w:firstLine="56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公示阶段</w:t>
      </w:r>
    </w:p>
    <w:p w14:paraId="2CF91D4B">
      <w:pPr>
        <w:spacing w:line="300" w:lineRule="auto"/>
        <w:ind w:firstLine="560" w:firstLineChars="200"/>
        <w:rPr>
          <w:rFonts w:hint="eastAsia" w:asciiTheme="minorEastAsia" w:hAnsiTheme="minorEastAsia"/>
          <w:bCs/>
          <w:color w:val="auto"/>
          <w:sz w:val="28"/>
          <w:szCs w:val="32"/>
        </w:rPr>
      </w:pPr>
      <w:r>
        <w:rPr>
          <w:rFonts w:hint="eastAsia" w:asciiTheme="minorEastAsia" w:hAnsiTheme="minorEastAsia"/>
          <w:bCs/>
          <w:color w:val="auto"/>
          <w:sz w:val="28"/>
          <w:szCs w:val="32"/>
        </w:rPr>
        <w:t>通过初选的学生名单，经学院推荐工作小组审核后，统一上报学校推免生遴选工作领导小组审定。</w:t>
      </w:r>
    </w:p>
    <w:p w14:paraId="6BE582B6">
      <w:pPr>
        <w:spacing w:line="300" w:lineRule="auto"/>
        <w:ind w:firstLine="560" w:firstLineChars="200"/>
        <w:rPr>
          <w:rFonts w:hint="eastAsia" w:asciiTheme="minorEastAsia" w:hAnsiTheme="minorEastAsia"/>
          <w:bCs/>
          <w:color w:val="auto"/>
          <w:sz w:val="28"/>
          <w:szCs w:val="32"/>
        </w:rPr>
      </w:pPr>
      <w:r>
        <w:rPr>
          <w:rFonts w:hint="eastAsia" w:asciiTheme="minorEastAsia" w:hAnsiTheme="minorEastAsia"/>
          <w:bCs/>
          <w:color w:val="auto"/>
          <w:sz w:val="28"/>
          <w:szCs w:val="32"/>
        </w:rPr>
        <w:t>审定的名单在学院和校内网站公示，公示期为7个工作日，公示期间公示内容不得修改，如有变动，须对变动部分做出说明，并对变动内容另行公示7个工作日。</w:t>
      </w:r>
    </w:p>
    <w:p w14:paraId="5ED4705C">
      <w:pPr>
        <w:spacing w:line="300" w:lineRule="auto"/>
        <w:ind w:firstLine="560" w:firstLineChars="200"/>
        <w:rPr>
          <w:rFonts w:hint="eastAsia" w:asciiTheme="minorEastAsia" w:hAnsiTheme="minorEastAsia"/>
          <w:bCs/>
          <w:color w:val="auto"/>
          <w:sz w:val="28"/>
          <w:szCs w:val="32"/>
        </w:rPr>
      </w:pPr>
      <w:r>
        <w:rPr>
          <w:rFonts w:hint="eastAsia" w:asciiTheme="minorEastAsia" w:hAnsiTheme="minorEastAsia"/>
          <w:bCs/>
          <w:color w:val="auto"/>
          <w:sz w:val="28"/>
          <w:szCs w:val="32"/>
        </w:rPr>
        <w:t>对有异议的学生，学院要查明情况，公布处理结果。如无异议，学校通过“推免服务全国推荐优秀应届本科毕业生免试攻读研究生信息公开暨管理服务系统”（以下简称“推免服务系统”，网址：https：//yz.chsi.com.cn/tm）上报市招办审核，审核通过的学生名单将在教育部备案。未经公示的推免生资格无效。</w:t>
      </w:r>
    </w:p>
    <w:p w14:paraId="16E75729">
      <w:pPr>
        <w:spacing w:line="300" w:lineRule="auto"/>
        <w:ind w:firstLine="560" w:firstLineChars="200"/>
        <w:rPr>
          <w:rFonts w:hint="eastAsia" w:ascii="仿宋_GB2312" w:hAnsi="华文中宋" w:eastAsia="仿宋_GB2312"/>
          <w:bCs/>
          <w:color w:val="auto"/>
          <w:sz w:val="32"/>
          <w:szCs w:val="32"/>
        </w:rPr>
      </w:pPr>
      <w:r>
        <w:rPr>
          <w:rFonts w:hint="eastAsia" w:asciiTheme="minorEastAsia" w:hAnsiTheme="minorEastAsia"/>
          <w:bCs/>
          <w:color w:val="auto"/>
          <w:sz w:val="28"/>
          <w:szCs w:val="32"/>
        </w:rPr>
        <w:t>注：具体时间节点以当时通知为准。</w:t>
      </w:r>
    </w:p>
    <w:p w14:paraId="44077C49">
      <w:pPr>
        <w:spacing w:line="360" w:lineRule="auto"/>
        <w:ind w:firstLine="480"/>
        <w:rPr>
          <w:rStyle w:val="13"/>
          <w:rFonts w:hint="eastAsia" w:ascii="黑体" w:hAnsi="黑体" w:eastAsia="黑体" w:cs="Times New Roman"/>
          <w:color w:val="auto"/>
          <w:kern w:val="0"/>
          <w:sz w:val="28"/>
          <w:szCs w:val="24"/>
        </w:rPr>
      </w:pPr>
      <w:r>
        <w:rPr>
          <w:rStyle w:val="13"/>
          <w:rFonts w:hint="eastAsia" w:ascii="黑体" w:hAnsi="黑体" w:eastAsia="黑体" w:cs="Times New Roman"/>
          <w:color w:val="auto"/>
          <w:kern w:val="0"/>
          <w:sz w:val="28"/>
          <w:szCs w:val="24"/>
        </w:rPr>
        <w:t>七、其他说明</w:t>
      </w:r>
    </w:p>
    <w:p w14:paraId="6E37E5CB">
      <w:pPr>
        <w:pStyle w:val="16"/>
        <w:numPr>
          <w:ilvl w:val="0"/>
          <w:numId w:val="3"/>
        </w:numPr>
        <w:spacing w:line="300" w:lineRule="auto"/>
        <w:ind w:left="0" w:firstLine="567" w:firstLineChars="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学院严格执行《天津大学建筑工程学院推荐优秀本科毕业生免试攻读研究生工作回避制度实施细则》，工作小组成员如有直系亲属或者利益相关人员参加学院当年的推免生遴选，应主动申请回避。相关学生申请推免资格时也应主动向学院报备声明。对于未按规定报备声明回避关系的，依照相关文件处理。</w:t>
      </w:r>
    </w:p>
    <w:p w14:paraId="71777E73">
      <w:pPr>
        <w:pStyle w:val="16"/>
        <w:numPr>
          <w:ilvl w:val="0"/>
          <w:numId w:val="3"/>
        </w:numPr>
        <w:spacing w:line="300" w:lineRule="auto"/>
        <w:ind w:left="0" w:firstLine="56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专家审核小组：专家组成员应具有相关学科副教授以上职称，一般不少于5人。</w:t>
      </w:r>
    </w:p>
    <w:p w14:paraId="103AFC97">
      <w:pPr>
        <w:pStyle w:val="16"/>
        <w:numPr>
          <w:ilvl w:val="0"/>
          <w:numId w:val="3"/>
        </w:numPr>
        <w:spacing w:line="300" w:lineRule="auto"/>
        <w:ind w:left="0" w:firstLine="56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推免工作咨询及投诉途径：</w:t>
      </w:r>
    </w:p>
    <w:p w14:paraId="41F8D53E">
      <w:pPr>
        <w:pStyle w:val="16"/>
        <w:spacing w:line="300" w:lineRule="auto"/>
        <w:ind w:left="560" w:firstLine="0" w:firstLineChars="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咨询电话：022-</w:t>
      </w:r>
      <w:r>
        <w:rPr>
          <w:rFonts w:asciiTheme="minorEastAsia" w:hAnsiTheme="minorEastAsia"/>
          <w:bCs/>
          <w:color w:val="auto"/>
          <w:sz w:val="28"/>
          <w:szCs w:val="32"/>
        </w:rPr>
        <w:t>27400845</w:t>
      </w:r>
    </w:p>
    <w:p w14:paraId="021981B2">
      <w:pPr>
        <w:pStyle w:val="16"/>
        <w:spacing w:line="300" w:lineRule="auto"/>
        <w:ind w:left="560" w:firstLine="0" w:firstLineChars="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咨询邮箱：</w:t>
      </w:r>
      <w:r>
        <w:rPr>
          <w:color w:val="auto"/>
          <w:u w:val="none"/>
        </w:rPr>
        <w:fldChar w:fldCharType="begin"/>
      </w:r>
      <w:r>
        <w:rPr>
          <w:color w:val="auto"/>
          <w:u w:val="none"/>
        </w:rPr>
        <w:instrText xml:space="preserve"> HYPERLINK "mailto:jgedu506@126.com" </w:instrText>
      </w:r>
      <w:r>
        <w:rPr>
          <w:color w:val="auto"/>
          <w:u w:val="none"/>
        </w:rPr>
        <w:fldChar w:fldCharType="separate"/>
      </w:r>
      <w:r>
        <w:rPr>
          <w:rStyle w:val="14"/>
          <w:rFonts w:hint="eastAsia" w:asciiTheme="minorEastAsia" w:hAnsiTheme="minorEastAsia"/>
          <w:bCs/>
          <w:color w:val="auto"/>
          <w:sz w:val="28"/>
          <w:szCs w:val="32"/>
          <w:u w:val="none"/>
        </w:rPr>
        <w:t>jg</w:t>
      </w:r>
      <w:r>
        <w:rPr>
          <w:rStyle w:val="14"/>
          <w:rFonts w:asciiTheme="minorEastAsia" w:hAnsiTheme="minorEastAsia"/>
          <w:bCs/>
          <w:color w:val="auto"/>
          <w:sz w:val="28"/>
          <w:szCs w:val="32"/>
          <w:u w:val="none"/>
        </w:rPr>
        <w:t>edu506</w:t>
      </w:r>
      <w:r>
        <w:rPr>
          <w:rStyle w:val="14"/>
          <w:rFonts w:hint="eastAsia" w:asciiTheme="minorEastAsia" w:hAnsiTheme="minorEastAsia"/>
          <w:bCs/>
          <w:color w:val="auto"/>
          <w:sz w:val="28"/>
          <w:szCs w:val="32"/>
          <w:u w:val="none"/>
        </w:rPr>
        <w:t>@</w:t>
      </w:r>
      <w:r>
        <w:rPr>
          <w:rStyle w:val="14"/>
          <w:rFonts w:asciiTheme="minorEastAsia" w:hAnsiTheme="minorEastAsia"/>
          <w:bCs/>
          <w:color w:val="auto"/>
          <w:sz w:val="28"/>
          <w:szCs w:val="32"/>
          <w:u w:val="none"/>
        </w:rPr>
        <w:t>126.com</w:t>
      </w:r>
      <w:r>
        <w:rPr>
          <w:rStyle w:val="14"/>
          <w:rFonts w:asciiTheme="minorEastAsia" w:hAnsiTheme="minorEastAsia"/>
          <w:bCs/>
          <w:color w:val="auto"/>
          <w:sz w:val="28"/>
          <w:szCs w:val="32"/>
          <w:u w:val="none"/>
        </w:rPr>
        <w:fldChar w:fldCharType="end"/>
      </w:r>
    </w:p>
    <w:p w14:paraId="279138CC">
      <w:pPr>
        <w:pStyle w:val="16"/>
        <w:spacing w:line="300" w:lineRule="auto"/>
        <w:ind w:left="560" w:firstLine="0" w:firstLineChars="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投诉电话：0</w:t>
      </w:r>
      <w:r>
        <w:rPr>
          <w:rFonts w:asciiTheme="minorEastAsia" w:hAnsiTheme="minorEastAsia"/>
          <w:bCs/>
          <w:color w:val="auto"/>
          <w:sz w:val="28"/>
          <w:szCs w:val="32"/>
        </w:rPr>
        <w:t>22-27403401</w:t>
      </w:r>
    </w:p>
    <w:p w14:paraId="093CA742">
      <w:pPr>
        <w:pStyle w:val="16"/>
        <w:spacing w:line="300" w:lineRule="auto"/>
        <w:ind w:left="560" w:firstLine="0" w:firstLineChars="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投诉邮箱：</w:t>
      </w:r>
      <w:r>
        <w:rPr>
          <w:rFonts w:asciiTheme="minorEastAsia" w:hAnsiTheme="minorEastAsia"/>
          <w:bCs/>
          <w:color w:val="auto"/>
          <w:sz w:val="28"/>
          <w:szCs w:val="32"/>
        </w:rPr>
        <w:t>changegao@tju.edu.cn</w:t>
      </w:r>
    </w:p>
    <w:p w14:paraId="76E93B7B">
      <w:pPr>
        <w:pStyle w:val="16"/>
        <w:numPr>
          <w:ilvl w:val="0"/>
          <w:numId w:val="3"/>
        </w:numPr>
        <w:spacing w:line="300" w:lineRule="auto"/>
        <w:ind w:left="0" w:firstLine="56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建筑工程学院推免公告网址：</w:t>
      </w:r>
    </w:p>
    <w:p w14:paraId="6C9BD9D6">
      <w:pPr>
        <w:pStyle w:val="16"/>
        <w:spacing w:line="300" w:lineRule="auto"/>
        <w:ind w:left="640" w:firstLine="0" w:firstLineChars="0"/>
        <w:contextualSpacing/>
        <w:rPr>
          <w:rFonts w:hint="eastAsia" w:asciiTheme="minorEastAsia" w:hAnsiTheme="minorEastAsia"/>
          <w:bCs/>
          <w:color w:val="auto"/>
          <w:sz w:val="28"/>
          <w:szCs w:val="32"/>
        </w:rPr>
      </w:pPr>
      <w:r>
        <w:rPr>
          <w:rFonts w:hint="eastAsia" w:asciiTheme="minorEastAsia" w:hAnsiTheme="minorEastAsia"/>
          <w:bCs/>
          <w:color w:val="auto"/>
          <w:sz w:val="28"/>
          <w:szCs w:val="32"/>
        </w:rPr>
        <w:t>jgxy.tju.edu.cn（公告信息）。</w:t>
      </w:r>
    </w:p>
    <w:p w14:paraId="3200E632">
      <w:pPr>
        <w:spacing w:line="360" w:lineRule="auto"/>
        <w:ind w:firstLine="480"/>
        <w:rPr>
          <w:rStyle w:val="13"/>
          <w:rFonts w:hint="eastAsia" w:ascii="黑体" w:hAnsi="黑体" w:eastAsia="黑体" w:cs="Times New Roman"/>
          <w:bCs w:val="0"/>
          <w:color w:val="auto"/>
          <w:kern w:val="0"/>
          <w:sz w:val="28"/>
          <w:szCs w:val="24"/>
        </w:rPr>
      </w:pPr>
      <w:r>
        <w:rPr>
          <w:rStyle w:val="13"/>
          <w:rFonts w:hint="eastAsia" w:ascii="黑体" w:hAnsi="黑体" w:eastAsia="黑体" w:cs="Times New Roman"/>
          <w:bCs w:val="0"/>
          <w:color w:val="auto"/>
          <w:kern w:val="0"/>
          <w:sz w:val="28"/>
          <w:szCs w:val="24"/>
        </w:rPr>
        <w:t>八</w:t>
      </w:r>
      <w:r>
        <w:rPr>
          <w:rStyle w:val="13"/>
          <w:rFonts w:ascii="黑体" w:hAnsi="黑体" w:eastAsia="黑体" w:cs="Times New Roman"/>
          <w:bCs w:val="0"/>
          <w:color w:val="auto"/>
          <w:kern w:val="0"/>
          <w:sz w:val="28"/>
          <w:szCs w:val="24"/>
        </w:rPr>
        <w:t>、相关原则要求</w:t>
      </w:r>
    </w:p>
    <w:p w14:paraId="678BE4F4">
      <w:pPr>
        <w:spacing w:line="300" w:lineRule="auto"/>
        <w:ind w:firstLine="560" w:firstLineChars="200"/>
        <w:rPr>
          <w:rFonts w:hint="eastAsia" w:asciiTheme="minorEastAsia" w:hAnsiTheme="minorEastAsia"/>
          <w:bCs/>
          <w:color w:val="auto"/>
          <w:sz w:val="28"/>
          <w:szCs w:val="32"/>
        </w:rPr>
      </w:pPr>
      <w:r>
        <w:rPr>
          <w:rFonts w:hint="eastAsia" w:asciiTheme="minorEastAsia" w:hAnsiTheme="minorEastAsia"/>
          <w:bCs/>
          <w:color w:val="auto"/>
          <w:sz w:val="28"/>
          <w:szCs w:val="32"/>
        </w:rPr>
        <w:t>除实施细则中所做的特别规定外，相关推免原则和条件经公布后不能删减或附加。</w:t>
      </w:r>
    </w:p>
    <w:p w14:paraId="7CDB47D8">
      <w:pPr>
        <w:spacing w:line="300" w:lineRule="auto"/>
        <w:ind w:firstLine="560" w:firstLineChars="200"/>
        <w:rPr>
          <w:rFonts w:hint="eastAsia" w:ascii="仿宋_GB2312" w:hAnsi="华文中宋" w:eastAsia="仿宋_GB2312"/>
          <w:bCs/>
          <w:color w:val="auto"/>
          <w:sz w:val="32"/>
          <w:szCs w:val="32"/>
        </w:rPr>
      </w:pPr>
      <w:r>
        <w:rPr>
          <w:rFonts w:hint="eastAsia" w:asciiTheme="minorEastAsia" w:hAnsiTheme="minorEastAsia"/>
          <w:bCs/>
          <w:color w:val="auto"/>
          <w:sz w:val="28"/>
          <w:szCs w:val="32"/>
        </w:rPr>
        <w:t>本实施细则由学院推免工作领导小组负责解释。</w:t>
      </w:r>
    </w:p>
    <w:p w14:paraId="03601632">
      <w:pPr>
        <w:spacing w:line="460" w:lineRule="exact"/>
        <w:ind w:firstLine="5320" w:firstLineChars="1900"/>
        <w:rPr>
          <w:rFonts w:hint="eastAsia" w:asciiTheme="minorEastAsia" w:hAnsiTheme="minorEastAsia"/>
          <w:color w:val="auto"/>
          <w:sz w:val="28"/>
          <w:szCs w:val="28"/>
        </w:rPr>
      </w:pPr>
    </w:p>
    <w:p w14:paraId="18401EDC">
      <w:pPr>
        <w:spacing w:line="460" w:lineRule="exact"/>
        <w:ind w:firstLine="5320" w:firstLineChars="1900"/>
        <w:rPr>
          <w:rFonts w:hint="eastAsia" w:asciiTheme="minorEastAsia" w:hAnsiTheme="minorEastAsia"/>
          <w:color w:val="auto"/>
          <w:sz w:val="28"/>
          <w:szCs w:val="28"/>
        </w:rPr>
      </w:pPr>
      <w:r>
        <w:rPr>
          <w:rFonts w:asciiTheme="minorEastAsia" w:hAnsiTheme="minorEastAsia"/>
          <w:color w:val="auto"/>
          <w:sz w:val="28"/>
          <w:szCs w:val="28"/>
        </w:rPr>
        <w:tab/>
      </w:r>
      <w:r>
        <w:rPr>
          <w:rFonts w:hint="eastAsia" w:asciiTheme="minorEastAsia" w:hAnsiTheme="minorEastAsia"/>
          <w:color w:val="auto"/>
          <w:sz w:val="28"/>
          <w:szCs w:val="28"/>
        </w:rPr>
        <w:t xml:space="preserve"> </w:t>
      </w:r>
      <w:r>
        <w:rPr>
          <w:rFonts w:asciiTheme="minorEastAsia" w:hAnsiTheme="minorEastAsia"/>
          <w:color w:val="auto"/>
          <w:sz w:val="28"/>
          <w:szCs w:val="28"/>
        </w:rPr>
        <w:t xml:space="preserve">  </w:t>
      </w:r>
      <w:r>
        <w:rPr>
          <w:rFonts w:hint="eastAsia" w:asciiTheme="minorEastAsia" w:hAnsiTheme="minorEastAsia"/>
          <w:color w:val="auto"/>
          <w:sz w:val="28"/>
          <w:szCs w:val="28"/>
        </w:rPr>
        <w:t xml:space="preserve"> 建筑工程学院</w:t>
      </w:r>
    </w:p>
    <w:p w14:paraId="6EEC9537">
      <w:pPr>
        <w:wordWrap w:val="0"/>
        <w:jc w:val="right"/>
        <w:rPr>
          <w:rFonts w:hint="eastAsia" w:cs="Times New Roman" w:asciiTheme="minorEastAsia" w:hAnsiTheme="minorEastAsia"/>
          <w:color w:val="auto"/>
          <w:sz w:val="28"/>
        </w:rPr>
      </w:pPr>
      <w:r>
        <w:rPr>
          <w:rFonts w:asciiTheme="minorEastAsia" w:hAnsiTheme="minorEastAsia"/>
          <w:color w:val="auto"/>
          <w:sz w:val="28"/>
          <w:szCs w:val="32"/>
        </w:rPr>
        <w:t xml:space="preserve"> </w:t>
      </w:r>
      <w:r>
        <w:rPr>
          <w:rFonts w:hint="eastAsia" w:asciiTheme="minorEastAsia" w:hAnsiTheme="minorEastAsia"/>
          <w:color w:val="auto"/>
          <w:sz w:val="28"/>
          <w:szCs w:val="32"/>
        </w:rPr>
        <w:t>二0二</w:t>
      </w:r>
      <w:r>
        <w:rPr>
          <w:rFonts w:hint="eastAsia" w:asciiTheme="minorEastAsia" w:hAnsiTheme="minorEastAsia"/>
          <w:color w:val="auto"/>
          <w:sz w:val="28"/>
          <w:szCs w:val="32"/>
          <w:highlight w:val="none"/>
        </w:rPr>
        <w:t>四</w:t>
      </w:r>
      <w:r>
        <w:rPr>
          <w:rFonts w:hint="eastAsia" w:asciiTheme="minorEastAsia" w:hAnsiTheme="minorEastAsia"/>
          <w:color w:val="auto"/>
          <w:sz w:val="28"/>
          <w:szCs w:val="32"/>
        </w:rPr>
        <w:t xml:space="preserve">年九月 </w:t>
      </w:r>
      <w:r>
        <w:rPr>
          <w:rFonts w:asciiTheme="minorEastAsia" w:hAnsiTheme="minorEastAsia"/>
          <w:color w:val="auto"/>
          <w:sz w:val="28"/>
          <w:szCs w:val="32"/>
        </w:rPr>
        <w:t xml:space="preserve"> </w:t>
      </w:r>
      <w:r>
        <w:rPr>
          <w:rFonts w:asciiTheme="minorEastAsia" w:hAnsiTheme="minorEastAsia"/>
          <w:color w:val="auto"/>
          <w:sz w:val="32"/>
          <w:szCs w:val="32"/>
        </w:rPr>
        <w:t xml:space="preserve"> </w:t>
      </w:r>
    </w:p>
    <w:p w14:paraId="05256123">
      <w:pPr>
        <w:widowControl/>
        <w:jc w:val="left"/>
        <w:rPr>
          <w:rFonts w:ascii="Times New Roman" w:hAnsi="Times New Roman" w:cs="Times New Roman"/>
          <w:color w:val="auto"/>
          <w:sz w:val="28"/>
        </w:rPr>
      </w:pPr>
      <w:r>
        <w:rPr>
          <w:rFonts w:ascii="Times New Roman" w:hAnsi="Times New Roman" w:cs="Times New Roman"/>
          <w:color w:val="auto"/>
          <w:sz w:val="28"/>
        </w:rPr>
        <w:br w:type="page"/>
      </w:r>
    </w:p>
    <w:p w14:paraId="060C1C76">
      <w:pPr>
        <w:rPr>
          <w:rFonts w:ascii="Times New Roman" w:hAnsi="Times New Roman" w:cs="Times New Roman"/>
          <w:color w:val="auto"/>
          <w:sz w:val="28"/>
        </w:rPr>
      </w:pPr>
      <w:r>
        <w:rPr>
          <w:rFonts w:ascii="Times New Roman" w:hAnsi="Times New Roman" w:cs="Times New Roman"/>
          <w:color w:val="auto"/>
          <w:sz w:val="28"/>
        </w:rPr>
        <w:t>附表1</w:t>
      </w:r>
    </w:p>
    <w:p w14:paraId="19AC9CCF">
      <w:pPr>
        <w:jc w:val="center"/>
        <w:rPr>
          <w:rFonts w:hint="eastAsia" w:asciiTheme="minorEastAsia" w:hAnsiTheme="minorEastAsia"/>
          <w:color w:val="auto"/>
          <w:sz w:val="28"/>
        </w:rPr>
      </w:pPr>
      <w:r>
        <w:rPr>
          <w:rFonts w:asciiTheme="minorEastAsia" w:hAnsiTheme="minorEastAsia"/>
          <w:color w:val="auto"/>
          <w:sz w:val="28"/>
        </w:rPr>
        <w:t>竞赛列表</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835"/>
        <w:gridCol w:w="2552"/>
        <w:gridCol w:w="2409"/>
      </w:tblGrid>
      <w:tr w14:paraId="2DF7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E085EAF">
            <w:pPr>
              <w:jc w:val="center"/>
              <w:rPr>
                <w:rFonts w:ascii="Times New Roman" w:hAnsi="Times New Roman" w:cs="Times New Roman"/>
                <w:b/>
                <w:bCs/>
                <w:color w:val="auto"/>
                <w:szCs w:val="21"/>
              </w:rPr>
            </w:pPr>
            <w:r>
              <w:rPr>
                <w:rFonts w:ascii="Times New Roman" w:hAnsi="Times New Roman" w:cs="Times New Roman"/>
                <w:b/>
                <w:bCs/>
                <w:color w:val="auto"/>
                <w:szCs w:val="21"/>
              </w:rPr>
              <w:t>序号</w:t>
            </w:r>
          </w:p>
        </w:tc>
        <w:tc>
          <w:tcPr>
            <w:tcW w:w="2835" w:type="dxa"/>
            <w:vAlign w:val="center"/>
          </w:tcPr>
          <w:p w14:paraId="72251CDD">
            <w:pPr>
              <w:jc w:val="center"/>
              <w:rPr>
                <w:rFonts w:ascii="Times New Roman" w:hAnsi="Times New Roman" w:cs="Times New Roman"/>
                <w:b/>
                <w:bCs/>
                <w:color w:val="auto"/>
                <w:szCs w:val="21"/>
              </w:rPr>
            </w:pPr>
            <w:r>
              <w:rPr>
                <w:rFonts w:ascii="Times New Roman" w:hAnsi="Times New Roman" w:cs="Times New Roman"/>
                <w:b/>
                <w:bCs/>
                <w:color w:val="auto"/>
                <w:szCs w:val="21"/>
              </w:rPr>
              <w:t>竞赛名称</w:t>
            </w:r>
          </w:p>
        </w:tc>
        <w:tc>
          <w:tcPr>
            <w:tcW w:w="2552" w:type="dxa"/>
            <w:vAlign w:val="center"/>
          </w:tcPr>
          <w:p w14:paraId="14D13A75">
            <w:pPr>
              <w:jc w:val="center"/>
              <w:rPr>
                <w:rFonts w:ascii="Times New Roman" w:hAnsi="Times New Roman" w:cs="Times New Roman"/>
                <w:b/>
                <w:bCs/>
                <w:color w:val="auto"/>
                <w:szCs w:val="21"/>
              </w:rPr>
            </w:pPr>
            <w:r>
              <w:rPr>
                <w:rFonts w:ascii="Times New Roman" w:hAnsi="Times New Roman" w:cs="Times New Roman"/>
                <w:b/>
                <w:bCs/>
                <w:color w:val="auto"/>
                <w:szCs w:val="21"/>
              </w:rPr>
              <w:t>举办单位</w:t>
            </w:r>
          </w:p>
        </w:tc>
        <w:tc>
          <w:tcPr>
            <w:tcW w:w="2409" w:type="dxa"/>
            <w:vAlign w:val="center"/>
          </w:tcPr>
          <w:p w14:paraId="39BC4AD5">
            <w:pPr>
              <w:jc w:val="center"/>
              <w:rPr>
                <w:rFonts w:ascii="Times New Roman" w:hAnsi="Times New Roman" w:cs="Times New Roman"/>
                <w:b/>
                <w:bCs/>
                <w:color w:val="auto"/>
                <w:szCs w:val="21"/>
              </w:rPr>
            </w:pPr>
            <w:r>
              <w:rPr>
                <w:rFonts w:ascii="Times New Roman" w:hAnsi="Times New Roman" w:cs="Times New Roman"/>
                <w:b/>
                <w:bCs/>
                <w:color w:val="auto"/>
                <w:szCs w:val="21"/>
              </w:rPr>
              <w:t>竞赛</w:t>
            </w:r>
          </w:p>
          <w:p w14:paraId="078FAD4A">
            <w:pPr>
              <w:jc w:val="center"/>
              <w:rPr>
                <w:rFonts w:ascii="Times New Roman" w:hAnsi="Times New Roman" w:cs="Times New Roman"/>
                <w:b/>
                <w:bCs/>
                <w:color w:val="auto"/>
                <w:szCs w:val="21"/>
              </w:rPr>
            </w:pPr>
            <w:r>
              <w:rPr>
                <w:rFonts w:ascii="Times New Roman" w:hAnsi="Times New Roman" w:cs="Times New Roman"/>
                <w:b/>
                <w:bCs/>
                <w:color w:val="auto"/>
                <w:szCs w:val="21"/>
              </w:rPr>
              <w:t>时间</w:t>
            </w:r>
          </w:p>
        </w:tc>
      </w:tr>
      <w:tr w14:paraId="1260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322B0FD">
            <w:pPr>
              <w:jc w:val="center"/>
              <w:rPr>
                <w:rFonts w:ascii="Times New Roman" w:hAnsi="Times New Roman" w:cs="Times New Roman"/>
                <w:b/>
                <w:bCs/>
                <w:color w:val="auto"/>
                <w:szCs w:val="21"/>
              </w:rPr>
            </w:pPr>
            <w:r>
              <w:rPr>
                <w:rFonts w:ascii="Times New Roman" w:hAnsi="Times New Roman" w:cs="Times New Roman"/>
                <w:b/>
                <w:bCs/>
                <w:color w:val="auto"/>
                <w:szCs w:val="21"/>
              </w:rPr>
              <w:t>1</w:t>
            </w:r>
          </w:p>
        </w:tc>
        <w:tc>
          <w:tcPr>
            <w:tcW w:w="2835" w:type="dxa"/>
            <w:vAlign w:val="center"/>
          </w:tcPr>
          <w:p w14:paraId="34ECA01E">
            <w:pPr>
              <w:jc w:val="center"/>
              <w:rPr>
                <w:rFonts w:ascii="Times New Roman" w:hAnsi="Times New Roman" w:cs="Times New Roman"/>
                <w:b/>
                <w:bCs/>
                <w:color w:val="auto"/>
                <w:szCs w:val="21"/>
              </w:rPr>
            </w:pPr>
            <w:r>
              <w:rPr>
                <w:rFonts w:ascii="Times New Roman" w:hAnsi="Times New Roman" w:cs="Times New Roman"/>
                <w:b/>
                <w:bCs/>
                <w:color w:val="auto"/>
                <w:szCs w:val="21"/>
              </w:rPr>
              <w:t>大学生数学建模竞赛(CUMCM)</w:t>
            </w:r>
          </w:p>
        </w:tc>
        <w:tc>
          <w:tcPr>
            <w:tcW w:w="2552" w:type="dxa"/>
            <w:vAlign w:val="center"/>
          </w:tcPr>
          <w:p w14:paraId="74C7804D">
            <w:pPr>
              <w:jc w:val="center"/>
              <w:rPr>
                <w:rFonts w:ascii="Times New Roman" w:hAnsi="Times New Roman" w:cs="Times New Roman"/>
                <w:color w:val="auto"/>
                <w:szCs w:val="21"/>
              </w:rPr>
            </w:pPr>
            <w:r>
              <w:rPr>
                <w:rFonts w:ascii="Times New Roman" w:hAnsi="Times New Roman" w:cs="Times New Roman"/>
                <w:color w:val="auto"/>
                <w:szCs w:val="21"/>
              </w:rPr>
              <w:t>教育部高等教育司 、中国工业与应用数学学会</w:t>
            </w:r>
          </w:p>
        </w:tc>
        <w:tc>
          <w:tcPr>
            <w:tcW w:w="2409" w:type="dxa"/>
            <w:vAlign w:val="center"/>
          </w:tcPr>
          <w:p w14:paraId="24920F46">
            <w:pPr>
              <w:jc w:val="center"/>
              <w:rPr>
                <w:rFonts w:ascii="Times New Roman" w:hAnsi="Times New Roman" w:cs="Times New Roman"/>
                <w:color w:val="auto"/>
                <w:szCs w:val="21"/>
              </w:rPr>
            </w:pPr>
            <w:r>
              <w:rPr>
                <w:rFonts w:ascii="Times New Roman" w:hAnsi="Times New Roman" w:cs="Times New Roman"/>
                <w:color w:val="auto"/>
                <w:szCs w:val="21"/>
              </w:rPr>
              <w:t>每年9月下旬</w:t>
            </w:r>
          </w:p>
        </w:tc>
      </w:tr>
      <w:tr w14:paraId="74E6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14BC3A5">
            <w:pPr>
              <w:jc w:val="center"/>
              <w:rPr>
                <w:rFonts w:ascii="Times New Roman" w:hAnsi="Times New Roman" w:cs="Times New Roman"/>
                <w:b/>
                <w:bCs/>
                <w:color w:val="auto"/>
                <w:szCs w:val="21"/>
              </w:rPr>
            </w:pPr>
            <w:r>
              <w:rPr>
                <w:rFonts w:ascii="Times New Roman" w:hAnsi="Times New Roman" w:cs="Times New Roman"/>
                <w:b/>
                <w:bCs/>
                <w:color w:val="auto"/>
                <w:szCs w:val="21"/>
              </w:rPr>
              <w:t>2</w:t>
            </w:r>
          </w:p>
        </w:tc>
        <w:tc>
          <w:tcPr>
            <w:tcW w:w="2835" w:type="dxa"/>
            <w:vAlign w:val="center"/>
          </w:tcPr>
          <w:p w14:paraId="729D4E28">
            <w:pPr>
              <w:jc w:val="center"/>
              <w:rPr>
                <w:rFonts w:ascii="Times New Roman" w:hAnsi="Times New Roman" w:cs="Times New Roman"/>
                <w:b/>
                <w:bCs/>
                <w:color w:val="auto"/>
                <w:spacing w:val="-8"/>
                <w:szCs w:val="21"/>
              </w:rPr>
            </w:pPr>
            <w:r>
              <w:rPr>
                <w:rFonts w:ascii="Times New Roman" w:hAnsi="Times New Roman" w:cs="Times New Roman"/>
                <w:b/>
                <w:bCs/>
                <w:color w:val="auto"/>
                <w:spacing w:val="-8"/>
                <w:szCs w:val="21"/>
              </w:rPr>
              <w:t>全国大学生电子设计竞赛</w:t>
            </w:r>
          </w:p>
          <w:p w14:paraId="17CC3DBC">
            <w:pPr>
              <w:jc w:val="center"/>
              <w:rPr>
                <w:rFonts w:ascii="Times New Roman" w:hAnsi="Times New Roman" w:cs="Times New Roman"/>
                <w:b/>
                <w:bCs/>
                <w:color w:val="auto"/>
                <w:szCs w:val="21"/>
              </w:rPr>
            </w:pPr>
            <w:r>
              <w:rPr>
                <w:rFonts w:ascii="Times New Roman" w:hAnsi="Times New Roman" w:cs="Times New Roman"/>
                <w:b/>
                <w:bCs/>
                <w:color w:val="auto"/>
                <w:szCs w:val="21"/>
              </w:rPr>
              <w:t>(NUEDC)</w:t>
            </w:r>
          </w:p>
        </w:tc>
        <w:tc>
          <w:tcPr>
            <w:tcW w:w="2552" w:type="dxa"/>
            <w:vAlign w:val="center"/>
          </w:tcPr>
          <w:p w14:paraId="116909AD">
            <w:pPr>
              <w:jc w:val="center"/>
              <w:rPr>
                <w:rFonts w:ascii="Times New Roman" w:hAnsi="Times New Roman" w:cs="Times New Roman"/>
                <w:color w:val="auto"/>
                <w:szCs w:val="21"/>
              </w:rPr>
            </w:pPr>
            <w:r>
              <w:rPr>
                <w:rFonts w:ascii="Times New Roman" w:hAnsi="Times New Roman" w:cs="Times New Roman"/>
                <w:color w:val="auto"/>
                <w:szCs w:val="21"/>
              </w:rPr>
              <w:t>教育部高等教育司、信息产业部人事司</w:t>
            </w:r>
          </w:p>
        </w:tc>
        <w:tc>
          <w:tcPr>
            <w:tcW w:w="2409" w:type="dxa"/>
            <w:vAlign w:val="center"/>
          </w:tcPr>
          <w:p w14:paraId="05A4E40E">
            <w:pPr>
              <w:jc w:val="center"/>
              <w:rPr>
                <w:rFonts w:ascii="Times New Roman" w:hAnsi="Times New Roman" w:cs="Times New Roman"/>
                <w:color w:val="auto"/>
                <w:szCs w:val="21"/>
              </w:rPr>
            </w:pPr>
            <w:r>
              <w:rPr>
                <w:rFonts w:ascii="Times New Roman" w:hAnsi="Times New Roman" w:cs="Times New Roman"/>
                <w:color w:val="auto"/>
                <w:szCs w:val="21"/>
              </w:rPr>
              <w:t>二年一次</w:t>
            </w:r>
          </w:p>
          <w:p w14:paraId="21CD9506">
            <w:pPr>
              <w:jc w:val="center"/>
              <w:rPr>
                <w:rFonts w:ascii="Times New Roman" w:hAnsi="Times New Roman" w:cs="Times New Roman"/>
                <w:color w:val="auto"/>
                <w:szCs w:val="21"/>
              </w:rPr>
            </w:pPr>
            <w:r>
              <w:rPr>
                <w:rFonts w:ascii="Times New Roman" w:hAnsi="Times New Roman" w:cs="Times New Roman"/>
                <w:color w:val="auto"/>
                <w:szCs w:val="21"/>
              </w:rPr>
              <w:t>9月份</w:t>
            </w:r>
          </w:p>
          <w:p w14:paraId="66DAD9E6">
            <w:pPr>
              <w:jc w:val="center"/>
              <w:rPr>
                <w:rFonts w:ascii="Times New Roman" w:hAnsi="Times New Roman" w:cs="Times New Roman"/>
                <w:color w:val="auto"/>
                <w:szCs w:val="21"/>
              </w:rPr>
            </w:pPr>
            <w:r>
              <w:rPr>
                <w:rFonts w:ascii="Times New Roman" w:hAnsi="Times New Roman" w:cs="Times New Roman"/>
                <w:color w:val="auto"/>
                <w:szCs w:val="21"/>
              </w:rPr>
              <w:t>（每单数年号时举办）</w:t>
            </w:r>
          </w:p>
        </w:tc>
      </w:tr>
      <w:tr w14:paraId="279E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F699F30">
            <w:pPr>
              <w:jc w:val="center"/>
              <w:rPr>
                <w:rFonts w:ascii="Times New Roman" w:hAnsi="Times New Roman" w:cs="Times New Roman"/>
                <w:b/>
                <w:bCs/>
                <w:color w:val="auto"/>
                <w:szCs w:val="21"/>
              </w:rPr>
            </w:pPr>
            <w:r>
              <w:rPr>
                <w:rFonts w:ascii="Times New Roman" w:hAnsi="Times New Roman" w:cs="Times New Roman"/>
                <w:b/>
                <w:bCs/>
                <w:color w:val="auto"/>
                <w:szCs w:val="21"/>
              </w:rPr>
              <w:t>3</w:t>
            </w:r>
          </w:p>
        </w:tc>
        <w:tc>
          <w:tcPr>
            <w:tcW w:w="2835" w:type="dxa"/>
            <w:vAlign w:val="center"/>
          </w:tcPr>
          <w:p w14:paraId="520CC596">
            <w:pPr>
              <w:jc w:val="center"/>
              <w:rPr>
                <w:rFonts w:ascii="Times New Roman" w:hAnsi="Times New Roman" w:cs="Times New Roman"/>
                <w:b/>
                <w:bCs/>
                <w:color w:val="auto"/>
                <w:szCs w:val="21"/>
              </w:rPr>
            </w:pPr>
            <w:r>
              <w:rPr>
                <w:rFonts w:ascii="Times New Roman" w:hAnsi="Times New Roman" w:cs="Times New Roman"/>
                <w:b/>
                <w:bCs/>
                <w:color w:val="auto"/>
                <w:szCs w:val="21"/>
              </w:rPr>
              <w:t>全国大学生机械创新设计大赛</w:t>
            </w:r>
          </w:p>
          <w:p w14:paraId="4F04DA77">
            <w:pPr>
              <w:jc w:val="center"/>
              <w:rPr>
                <w:rFonts w:ascii="Times New Roman" w:hAnsi="Times New Roman" w:cs="Times New Roman"/>
                <w:b/>
                <w:bCs/>
                <w:color w:val="auto"/>
                <w:szCs w:val="21"/>
              </w:rPr>
            </w:pPr>
            <w:r>
              <w:rPr>
                <w:rFonts w:ascii="Times New Roman" w:hAnsi="Times New Roman" w:cs="Times New Roman"/>
                <w:b/>
                <w:bCs/>
                <w:color w:val="auto"/>
                <w:szCs w:val="21"/>
              </w:rPr>
              <w:t>(CNMMTD)</w:t>
            </w:r>
          </w:p>
        </w:tc>
        <w:tc>
          <w:tcPr>
            <w:tcW w:w="2552" w:type="dxa"/>
            <w:vAlign w:val="center"/>
          </w:tcPr>
          <w:p w14:paraId="083DF24F">
            <w:pPr>
              <w:jc w:val="center"/>
              <w:rPr>
                <w:rFonts w:ascii="Times New Roman" w:hAnsi="Times New Roman" w:cs="Times New Roman"/>
                <w:bCs/>
                <w:color w:val="auto"/>
                <w:szCs w:val="21"/>
              </w:rPr>
            </w:pPr>
            <w:r>
              <w:rPr>
                <w:rFonts w:ascii="Times New Roman" w:hAnsi="Times New Roman" w:cs="Times New Roman"/>
                <w:color w:val="auto"/>
                <w:szCs w:val="21"/>
              </w:rPr>
              <w:t>教育部高等教育司、教育部高等学校机械学科教学指导委员会</w:t>
            </w:r>
          </w:p>
        </w:tc>
        <w:tc>
          <w:tcPr>
            <w:tcW w:w="2409" w:type="dxa"/>
            <w:vAlign w:val="center"/>
          </w:tcPr>
          <w:p w14:paraId="4B856377">
            <w:pPr>
              <w:jc w:val="center"/>
              <w:rPr>
                <w:rFonts w:ascii="Times New Roman" w:hAnsi="Times New Roman" w:cs="Times New Roman"/>
                <w:color w:val="auto"/>
                <w:szCs w:val="21"/>
              </w:rPr>
            </w:pPr>
            <w:r>
              <w:rPr>
                <w:rFonts w:ascii="Times New Roman" w:hAnsi="Times New Roman" w:cs="Times New Roman"/>
                <w:color w:val="auto"/>
                <w:szCs w:val="21"/>
              </w:rPr>
              <w:t>二年一次</w:t>
            </w:r>
          </w:p>
          <w:p w14:paraId="5745B0DC">
            <w:pPr>
              <w:jc w:val="center"/>
              <w:rPr>
                <w:rFonts w:ascii="Times New Roman" w:hAnsi="Times New Roman" w:cs="Times New Roman"/>
                <w:color w:val="auto"/>
                <w:szCs w:val="21"/>
              </w:rPr>
            </w:pPr>
            <w:r>
              <w:rPr>
                <w:rFonts w:ascii="Times New Roman" w:hAnsi="Times New Roman" w:cs="Times New Roman"/>
                <w:color w:val="auto"/>
                <w:szCs w:val="21"/>
              </w:rPr>
              <w:t>（双数年号时举办）</w:t>
            </w:r>
          </w:p>
        </w:tc>
      </w:tr>
      <w:tr w14:paraId="337D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028CB44">
            <w:pPr>
              <w:jc w:val="center"/>
              <w:rPr>
                <w:rFonts w:ascii="Times New Roman" w:hAnsi="Times New Roman" w:cs="Times New Roman"/>
                <w:b/>
                <w:bCs/>
                <w:color w:val="auto"/>
                <w:szCs w:val="21"/>
              </w:rPr>
            </w:pPr>
            <w:r>
              <w:rPr>
                <w:rFonts w:ascii="Times New Roman" w:hAnsi="Times New Roman" w:cs="Times New Roman"/>
                <w:b/>
                <w:bCs/>
                <w:color w:val="auto"/>
                <w:szCs w:val="21"/>
              </w:rPr>
              <w:t>4</w:t>
            </w:r>
          </w:p>
        </w:tc>
        <w:tc>
          <w:tcPr>
            <w:tcW w:w="2835" w:type="dxa"/>
            <w:vAlign w:val="center"/>
          </w:tcPr>
          <w:p w14:paraId="080AA727">
            <w:pPr>
              <w:jc w:val="center"/>
              <w:rPr>
                <w:rFonts w:ascii="Times New Roman" w:hAnsi="Times New Roman" w:cs="Times New Roman"/>
                <w:b/>
                <w:bCs/>
                <w:color w:val="auto"/>
                <w:szCs w:val="21"/>
              </w:rPr>
            </w:pPr>
            <w:r>
              <w:rPr>
                <w:rFonts w:ascii="Times New Roman" w:hAnsi="Times New Roman" w:cs="Times New Roman"/>
                <w:b/>
                <w:bCs/>
                <w:color w:val="auto"/>
                <w:szCs w:val="21"/>
              </w:rPr>
              <w:t>全国大学生英语演讲赛</w:t>
            </w:r>
          </w:p>
          <w:p w14:paraId="1BBB4688">
            <w:pPr>
              <w:jc w:val="center"/>
              <w:rPr>
                <w:rFonts w:ascii="Times New Roman" w:hAnsi="Times New Roman" w:cs="Times New Roman"/>
                <w:b/>
                <w:bCs/>
                <w:color w:val="auto"/>
                <w:szCs w:val="21"/>
              </w:rPr>
            </w:pPr>
            <w:r>
              <w:rPr>
                <w:rFonts w:ascii="Times New Roman" w:hAnsi="Times New Roman" w:cs="Times New Roman"/>
                <w:b/>
                <w:bCs/>
                <w:color w:val="auto"/>
                <w:szCs w:val="21"/>
              </w:rPr>
              <w:t>（“CCTV Cup” English Speaking Contest）</w:t>
            </w:r>
          </w:p>
        </w:tc>
        <w:tc>
          <w:tcPr>
            <w:tcW w:w="2552" w:type="dxa"/>
            <w:vAlign w:val="center"/>
          </w:tcPr>
          <w:p w14:paraId="7A8D8E31">
            <w:pPr>
              <w:jc w:val="center"/>
              <w:rPr>
                <w:rFonts w:ascii="Times New Roman" w:hAnsi="Times New Roman" w:cs="Times New Roman"/>
                <w:color w:val="auto"/>
                <w:szCs w:val="21"/>
              </w:rPr>
            </w:pPr>
            <w:r>
              <w:rPr>
                <w:rFonts w:ascii="Times New Roman" w:hAnsi="Times New Roman" w:cs="Times New Roman"/>
                <w:color w:val="auto"/>
                <w:szCs w:val="21"/>
              </w:rPr>
              <w:t>教育部高等教育司、中央电视台和外语教学与研究出版社</w:t>
            </w:r>
          </w:p>
        </w:tc>
        <w:tc>
          <w:tcPr>
            <w:tcW w:w="2409" w:type="dxa"/>
            <w:vAlign w:val="center"/>
          </w:tcPr>
          <w:p w14:paraId="2394F63F">
            <w:pPr>
              <w:jc w:val="center"/>
              <w:rPr>
                <w:rFonts w:ascii="Times New Roman" w:hAnsi="Times New Roman" w:cs="Times New Roman"/>
                <w:color w:val="auto"/>
                <w:szCs w:val="21"/>
              </w:rPr>
            </w:pPr>
            <w:r>
              <w:rPr>
                <w:rFonts w:ascii="Times New Roman" w:hAnsi="Times New Roman" w:cs="Times New Roman"/>
                <w:color w:val="auto"/>
                <w:szCs w:val="21"/>
              </w:rPr>
              <w:t>每年一次</w:t>
            </w:r>
          </w:p>
          <w:p w14:paraId="24B79FE3">
            <w:pPr>
              <w:jc w:val="center"/>
              <w:rPr>
                <w:rFonts w:ascii="Times New Roman" w:hAnsi="Times New Roman" w:cs="Times New Roman"/>
                <w:color w:val="auto"/>
                <w:szCs w:val="21"/>
              </w:rPr>
            </w:pPr>
            <w:r>
              <w:rPr>
                <w:rFonts w:ascii="Times New Roman" w:hAnsi="Times New Roman" w:cs="Times New Roman"/>
                <w:color w:val="auto"/>
                <w:szCs w:val="21"/>
              </w:rPr>
              <w:t>（从5月到11月）</w:t>
            </w:r>
          </w:p>
        </w:tc>
      </w:tr>
      <w:tr w14:paraId="7C77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1EA89D0">
            <w:pPr>
              <w:jc w:val="center"/>
              <w:rPr>
                <w:rFonts w:ascii="Times New Roman" w:hAnsi="Times New Roman" w:cs="Times New Roman"/>
                <w:b/>
                <w:bCs/>
                <w:color w:val="auto"/>
                <w:szCs w:val="21"/>
              </w:rPr>
            </w:pPr>
            <w:r>
              <w:rPr>
                <w:rFonts w:ascii="Times New Roman" w:hAnsi="Times New Roman" w:cs="Times New Roman"/>
                <w:b/>
                <w:bCs/>
                <w:color w:val="auto"/>
                <w:szCs w:val="21"/>
              </w:rPr>
              <w:t>5</w:t>
            </w:r>
          </w:p>
        </w:tc>
        <w:tc>
          <w:tcPr>
            <w:tcW w:w="2835" w:type="dxa"/>
            <w:vAlign w:val="center"/>
          </w:tcPr>
          <w:p w14:paraId="4DB5DF4E">
            <w:pPr>
              <w:pStyle w:val="3"/>
              <w:rPr>
                <w:rFonts w:eastAsiaTheme="minorEastAsia"/>
                <w:b w:val="0"/>
                <w:bCs w:val="0"/>
                <w:color w:val="auto"/>
                <w:sz w:val="21"/>
                <w:szCs w:val="21"/>
              </w:rPr>
            </w:pPr>
            <w:r>
              <w:rPr>
                <w:rFonts w:eastAsiaTheme="minorEastAsia"/>
                <w:color w:val="auto"/>
                <w:sz w:val="21"/>
                <w:szCs w:val="21"/>
              </w:rPr>
              <w:t>ACM国际大学生程序设计竞赛</w:t>
            </w:r>
          </w:p>
        </w:tc>
        <w:tc>
          <w:tcPr>
            <w:tcW w:w="2552" w:type="dxa"/>
            <w:vAlign w:val="center"/>
          </w:tcPr>
          <w:p w14:paraId="55449F28">
            <w:pPr>
              <w:jc w:val="center"/>
              <w:rPr>
                <w:rFonts w:ascii="Times New Roman" w:hAnsi="Times New Roman" w:cs="Times New Roman"/>
                <w:color w:val="auto"/>
                <w:szCs w:val="21"/>
              </w:rPr>
            </w:pPr>
            <w:r>
              <w:rPr>
                <w:rFonts w:ascii="Times New Roman" w:hAnsi="Times New Roman" w:cs="Times New Roman"/>
                <w:color w:val="auto"/>
                <w:szCs w:val="21"/>
              </w:rPr>
              <w:t>国际计算机协会（ACM）</w:t>
            </w:r>
          </w:p>
        </w:tc>
        <w:tc>
          <w:tcPr>
            <w:tcW w:w="2409" w:type="dxa"/>
            <w:vAlign w:val="center"/>
          </w:tcPr>
          <w:p w14:paraId="449AA9FB">
            <w:pPr>
              <w:jc w:val="center"/>
              <w:rPr>
                <w:rFonts w:ascii="Times New Roman" w:hAnsi="Times New Roman" w:cs="Times New Roman"/>
                <w:color w:val="auto"/>
                <w:szCs w:val="21"/>
              </w:rPr>
            </w:pPr>
            <w:r>
              <w:rPr>
                <w:rFonts w:ascii="Times New Roman" w:hAnsi="Times New Roman" w:cs="Times New Roman"/>
                <w:color w:val="auto"/>
                <w:szCs w:val="21"/>
              </w:rPr>
              <w:t>区域预赛一般在每年9-12月</w:t>
            </w:r>
          </w:p>
        </w:tc>
      </w:tr>
      <w:tr w14:paraId="2A58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E715625">
            <w:pPr>
              <w:jc w:val="center"/>
              <w:rPr>
                <w:rFonts w:ascii="Times New Roman" w:hAnsi="Times New Roman" w:cs="Times New Roman"/>
                <w:b/>
                <w:bCs/>
                <w:color w:val="auto"/>
                <w:szCs w:val="21"/>
              </w:rPr>
            </w:pPr>
            <w:r>
              <w:rPr>
                <w:rFonts w:ascii="Times New Roman" w:hAnsi="Times New Roman" w:cs="Times New Roman"/>
                <w:b/>
                <w:bCs/>
                <w:color w:val="auto"/>
                <w:szCs w:val="21"/>
              </w:rPr>
              <w:t>6</w:t>
            </w:r>
          </w:p>
        </w:tc>
        <w:tc>
          <w:tcPr>
            <w:tcW w:w="2835" w:type="dxa"/>
            <w:vAlign w:val="center"/>
          </w:tcPr>
          <w:p w14:paraId="7D0293FE">
            <w:pPr>
              <w:jc w:val="center"/>
              <w:rPr>
                <w:rFonts w:ascii="Times New Roman" w:hAnsi="Times New Roman" w:cs="Times New Roman"/>
                <w:b/>
                <w:bCs/>
                <w:color w:val="auto"/>
                <w:szCs w:val="21"/>
              </w:rPr>
            </w:pPr>
            <w:r>
              <w:rPr>
                <w:rFonts w:ascii="Times New Roman" w:hAnsi="Times New Roman" w:cs="Times New Roman"/>
                <w:b/>
                <w:bCs/>
                <w:color w:val="auto"/>
                <w:szCs w:val="21"/>
              </w:rPr>
              <w:t>国际机器人足球联盟（FIRA）世界杯机器人大赛</w:t>
            </w:r>
          </w:p>
        </w:tc>
        <w:tc>
          <w:tcPr>
            <w:tcW w:w="2552" w:type="dxa"/>
            <w:vAlign w:val="center"/>
          </w:tcPr>
          <w:p w14:paraId="66F46D35">
            <w:pPr>
              <w:jc w:val="center"/>
              <w:rPr>
                <w:rFonts w:ascii="Times New Roman" w:hAnsi="Times New Roman" w:cs="Times New Roman"/>
                <w:bCs/>
                <w:color w:val="auto"/>
                <w:szCs w:val="21"/>
              </w:rPr>
            </w:pPr>
            <w:r>
              <w:rPr>
                <w:rFonts w:ascii="Times New Roman" w:hAnsi="Times New Roman" w:cs="Times New Roman"/>
                <w:color w:val="auto"/>
                <w:szCs w:val="21"/>
              </w:rPr>
              <w:t>国际机器人足球联盟</w:t>
            </w:r>
          </w:p>
        </w:tc>
        <w:tc>
          <w:tcPr>
            <w:tcW w:w="2409" w:type="dxa"/>
            <w:vAlign w:val="center"/>
          </w:tcPr>
          <w:p w14:paraId="4A0E86DC">
            <w:pPr>
              <w:jc w:val="center"/>
              <w:rPr>
                <w:rFonts w:ascii="Times New Roman" w:hAnsi="Times New Roman" w:cs="Times New Roman"/>
                <w:b/>
                <w:bCs/>
                <w:color w:val="auto"/>
                <w:szCs w:val="21"/>
              </w:rPr>
            </w:pPr>
            <w:r>
              <w:rPr>
                <w:rFonts w:ascii="Times New Roman" w:hAnsi="Times New Roman" w:cs="Times New Roman"/>
                <w:color w:val="auto"/>
                <w:szCs w:val="21"/>
              </w:rPr>
              <w:t>每年</w:t>
            </w:r>
          </w:p>
        </w:tc>
      </w:tr>
      <w:tr w14:paraId="4EA2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8EC8FD">
            <w:pPr>
              <w:jc w:val="center"/>
              <w:rPr>
                <w:rFonts w:ascii="Times New Roman" w:hAnsi="Times New Roman" w:cs="Times New Roman"/>
                <w:b/>
                <w:bCs/>
                <w:color w:val="auto"/>
                <w:szCs w:val="21"/>
              </w:rPr>
            </w:pPr>
            <w:r>
              <w:rPr>
                <w:rFonts w:ascii="Times New Roman" w:hAnsi="Times New Roman" w:cs="Times New Roman"/>
                <w:b/>
                <w:bCs/>
                <w:color w:val="auto"/>
                <w:szCs w:val="21"/>
              </w:rPr>
              <w:t>7</w:t>
            </w:r>
          </w:p>
        </w:tc>
        <w:tc>
          <w:tcPr>
            <w:tcW w:w="2835" w:type="dxa"/>
            <w:vAlign w:val="center"/>
          </w:tcPr>
          <w:p w14:paraId="20C14E28">
            <w:pPr>
              <w:pStyle w:val="3"/>
              <w:rPr>
                <w:rFonts w:eastAsiaTheme="minorEastAsia"/>
                <w:b w:val="0"/>
                <w:bCs w:val="0"/>
                <w:color w:val="auto"/>
                <w:sz w:val="21"/>
                <w:szCs w:val="21"/>
              </w:rPr>
            </w:pPr>
            <w:r>
              <w:rPr>
                <w:rFonts w:eastAsiaTheme="minorEastAsia"/>
                <w:color w:val="auto"/>
                <w:sz w:val="21"/>
                <w:szCs w:val="21"/>
              </w:rPr>
              <w:t>全国机器人足球锦标赛</w:t>
            </w:r>
          </w:p>
        </w:tc>
        <w:tc>
          <w:tcPr>
            <w:tcW w:w="2552" w:type="dxa"/>
            <w:vAlign w:val="center"/>
          </w:tcPr>
          <w:p w14:paraId="32E00982">
            <w:pPr>
              <w:jc w:val="center"/>
              <w:rPr>
                <w:rFonts w:ascii="Times New Roman" w:hAnsi="Times New Roman" w:cs="Times New Roman"/>
                <w:color w:val="auto"/>
                <w:szCs w:val="21"/>
              </w:rPr>
            </w:pPr>
            <w:r>
              <w:rPr>
                <w:rFonts w:ascii="Times New Roman" w:hAnsi="Times New Roman" w:cs="Times New Roman"/>
                <w:color w:val="auto"/>
                <w:szCs w:val="21"/>
              </w:rPr>
              <w:t>中国自动化学会机器人竞赛工作委员</w:t>
            </w:r>
          </w:p>
        </w:tc>
        <w:tc>
          <w:tcPr>
            <w:tcW w:w="2409" w:type="dxa"/>
            <w:vAlign w:val="center"/>
          </w:tcPr>
          <w:p w14:paraId="57D983D0">
            <w:pPr>
              <w:jc w:val="center"/>
              <w:rPr>
                <w:rFonts w:ascii="Times New Roman" w:hAnsi="Times New Roman" w:cs="Times New Roman"/>
                <w:color w:val="auto"/>
                <w:szCs w:val="21"/>
              </w:rPr>
            </w:pPr>
            <w:r>
              <w:rPr>
                <w:rFonts w:ascii="Times New Roman" w:hAnsi="Times New Roman" w:cs="Times New Roman"/>
                <w:color w:val="auto"/>
                <w:szCs w:val="21"/>
              </w:rPr>
              <w:t>每年</w:t>
            </w:r>
          </w:p>
        </w:tc>
      </w:tr>
      <w:tr w14:paraId="5903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E6B37B2">
            <w:pPr>
              <w:jc w:val="center"/>
              <w:rPr>
                <w:rFonts w:ascii="Times New Roman" w:hAnsi="Times New Roman" w:cs="Times New Roman"/>
                <w:b/>
                <w:bCs/>
                <w:color w:val="auto"/>
                <w:szCs w:val="21"/>
              </w:rPr>
            </w:pPr>
            <w:r>
              <w:rPr>
                <w:rFonts w:ascii="Times New Roman" w:hAnsi="Times New Roman" w:cs="Times New Roman"/>
                <w:b/>
                <w:bCs/>
                <w:color w:val="auto"/>
                <w:szCs w:val="21"/>
              </w:rPr>
              <w:t>8</w:t>
            </w:r>
          </w:p>
        </w:tc>
        <w:tc>
          <w:tcPr>
            <w:tcW w:w="2835" w:type="dxa"/>
            <w:vAlign w:val="center"/>
          </w:tcPr>
          <w:p w14:paraId="024479B7">
            <w:pPr>
              <w:jc w:val="center"/>
              <w:rPr>
                <w:rFonts w:ascii="Times New Roman" w:hAnsi="Times New Roman" w:cs="Times New Roman"/>
                <w:b/>
                <w:bCs/>
                <w:color w:val="auto"/>
                <w:szCs w:val="21"/>
              </w:rPr>
            </w:pPr>
            <w:r>
              <w:rPr>
                <w:rFonts w:ascii="Times New Roman" w:hAnsi="Times New Roman" w:cs="Times New Roman"/>
                <w:b/>
                <w:bCs/>
                <w:color w:val="auto"/>
                <w:szCs w:val="21"/>
              </w:rPr>
              <w:t>微软”创新杯”编程大赛</w:t>
            </w:r>
          </w:p>
        </w:tc>
        <w:tc>
          <w:tcPr>
            <w:tcW w:w="2552" w:type="dxa"/>
            <w:vAlign w:val="center"/>
          </w:tcPr>
          <w:p w14:paraId="17FE10FD">
            <w:pPr>
              <w:jc w:val="center"/>
              <w:rPr>
                <w:rFonts w:ascii="Times New Roman" w:hAnsi="Times New Roman" w:cs="Times New Roman"/>
                <w:bCs/>
                <w:color w:val="auto"/>
                <w:szCs w:val="21"/>
              </w:rPr>
            </w:pPr>
            <w:r>
              <w:rPr>
                <w:rFonts w:ascii="Times New Roman" w:hAnsi="Times New Roman" w:cs="Times New Roman"/>
                <w:color w:val="auto"/>
                <w:szCs w:val="21"/>
              </w:rPr>
              <w:t>微软</w:t>
            </w:r>
          </w:p>
        </w:tc>
        <w:tc>
          <w:tcPr>
            <w:tcW w:w="2409" w:type="dxa"/>
            <w:vAlign w:val="center"/>
          </w:tcPr>
          <w:p w14:paraId="08DE7389">
            <w:pPr>
              <w:jc w:val="center"/>
              <w:rPr>
                <w:rFonts w:ascii="Times New Roman" w:hAnsi="Times New Roman" w:cs="Times New Roman"/>
                <w:b/>
                <w:bCs/>
                <w:color w:val="auto"/>
                <w:szCs w:val="21"/>
              </w:rPr>
            </w:pPr>
            <w:r>
              <w:rPr>
                <w:rFonts w:ascii="Times New Roman" w:hAnsi="Times New Roman" w:cs="Times New Roman"/>
                <w:color w:val="auto"/>
                <w:szCs w:val="21"/>
              </w:rPr>
              <w:t>每年10月份</w:t>
            </w:r>
          </w:p>
        </w:tc>
      </w:tr>
      <w:tr w14:paraId="3A22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517E9EF">
            <w:pPr>
              <w:jc w:val="center"/>
              <w:rPr>
                <w:rFonts w:ascii="Times New Roman" w:hAnsi="Times New Roman" w:cs="Times New Roman"/>
                <w:b/>
                <w:bCs/>
                <w:color w:val="auto"/>
                <w:szCs w:val="21"/>
              </w:rPr>
            </w:pPr>
            <w:r>
              <w:rPr>
                <w:rFonts w:ascii="Times New Roman" w:hAnsi="Times New Roman" w:cs="Times New Roman"/>
                <w:b/>
                <w:bCs/>
                <w:color w:val="auto"/>
                <w:szCs w:val="21"/>
              </w:rPr>
              <w:t>9</w:t>
            </w:r>
          </w:p>
        </w:tc>
        <w:tc>
          <w:tcPr>
            <w:tcW w:w="2835" w:type="dxa"/>
            <w:vAlign w:val="center"/>
          </w:tcPr>
          <w:p w14:paraId="61766398">
            <w:pPr>
              <w:pStyle w:val="3"/>
              <w:rPr>
                <w:rFonts w:eastAsiaTheme="minorEastAsia"/>
                <w:b w:val="0"/>
                <w:bCs w:val="0"/>
                <w:color w:val="auto"/>
                <w:sz w:val="21"/>
                <w:szCs w:val="21"/>
              </w:rPr>
            </w:pPr>
            <w:r>
              <w:rPr>
                <w:rFonts w:hint="eastAsia" w:eastAsiaTheme="minorEastAsia"/>
                <w:color w:val="auto"/>
                <w:sz w:val="21"/>
                <w:szCs w:val="21"/>
              </w:rPr>
              <w:t>“</w:t>
            </w:r>
            <w:r>
              <w:rPr>
                <w:rFonts w:eastAsiaTheme="minorEastAsia"/>
                <w:color w:val="auto"/>
                <w:sz w:val="21"/>
                <w:szCs w:val="21"/>
              </w:rPr>
              <w:t>飞思卡尔</w:t>
            </w:r>
            <w:r>
              <w:rPr>
                <w:rFonts w:hint="eastAsia" w:eastAsiaTheme="minorEastAsia"/>
                <w:color w:val="auto"/>
                <w:sz w:val="21"/>
                <w:szCs w:val="21"/>
              </w:rPr>
              <w:t>”</w:t>
            </w:r>
            <w:r>
              <w:rPr>
                <w:rFonts w:eastAsiaTheme="minorEastAsia"/>
                <w:color w:val="auto"/>
                <w:sz w:val="21"/>
                <w:szCs w:val="21"/>
              </w:rPr>
              <w:t>杯全国大学生智能汽车竞赛</w:t>
            </w:r>
          </w:p>
        </w:tc>
        <w:tc>
          <w:tcPr>
            <w:tcW w:w="2552" w:type="dxa"/>
            <w:vAlign w:val="center"/>
          </w:tcPr>
          <w:p w14:paraId="15D79C08">
            <w:pPr>
              <w:jc w:val="center"/>
              <w:rPr>
                <w:rFonts w:ascii="Times New Roman" w:hAnsi="Times New Roman" w:cs="Times New Roman"/>
                <w:color w:val="auto"/>
                <w:szCs w:val="21"/>
              </w:rPr>
            </w:pPr>
            <w:r>
              <w:rPr>
                <w:rFonts w:ascii="Times New Roman" w:hAnsi="Times New Roman" w:cs="Times New Roman"/>
                <w:color w:val="auto"/>
                <w:szCs w:val="21"/>
              </w:rPr>
              <w:t>教育部高等自动化专业教学指导分委员会</w:t>
            </w:r>
          </w:p>
        </w:tc>
        <w:tc>
          <w:tcPr>
            <w:tcW w:w="2409" w:type="dxa"/>
            <w:vAlign w:val="center"/>
          </w:tcPr>
          <w:p w14:paraId="0B89A245">
            <w:pPr>
              <w:jc w:val="center"/>
              <w:rPr>
                <w:rFonts w:ascii="Times New Roman" w:hAnsi="Times New Roman" w:cs="Times New Roman"/>
                <w:color w:val="auto"/>
                <w:szCs w:val="21"/>
              </w:rPr>
            </w:pPr>
            <w:r>
              <w:rPr>
                <w:rFonts w:ascii="Times New Roman" w:hAnsi="Times New Roman" w:cs="Times New Roman"/>
                <w:color w:val="auto"/>
                <w:szCs w:val="21"/>
              </w:rPr>
              <w:t>每年的10月份公布次年竞赛的题目和组织方式，并开始接受报名，次年的3月份进行相关技术培训，7月份进行分赛区竞赛，8月份进行全国总决赛</w:t>
            </w:r>
          </w:p>
        </w:tc>
      </w:tr>
      <w:tr w14:paraId="254B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95886A3">
            <w:pPr>
              <w:jc w:val="center"/>
              <w:rPr>
                <w:rFonts w:ascii="Times New Roman" w:hAnsi="Times New Roman" w:cs="Times New Roman"/>
                <w:b/>
                <w:bCs/>
                <w:color w:val="auto"/>
                <w:szCs w:val="21"/>
              </w:rPr>
            </w:pPr>
            <w:r>
              <w:rPr>
                <w:rFonts w:ascii="Times New Roman" w:hAnsi="Times New Roman" w:cs="Times New Roman"/>
                <w:b/>
                <w:bCs/>
                <w:color w:val="auto"/>
                <w:szCs w:val="21"/>
              </w:rPr>
              <w:t>10</w:t>
            </w:r>
          </w:p>
        </w:tc>
        <w:tc>
          <w:tcPr>
            <w:tcW w:w="2835" w:type="dxa"/>
            <w:vAlign w:val="center"/>
          </w:tcPr>
          <w:p w14:paraId="04321281">
            <w:pPr>
              <w:jc w:val="center"/>
              <w:rPr>
                <w:rFonts w:ascii="Times New Roman" w:hAnsi="Times New Roman" w:cs="Times New Roman"/>
                <w:b/>
                <w:bCs/>
                <w:color w:val="auto"/>
                <w:szCs w:val="21"/>
              </w:rPr>
            </w:pPr>
            <w:r>
              <w:rPr>
                <w:rFonts w:ascii="Times New Roman" w:hAnsi="Times New Roman" w:cs="Times New Roman"/>
                <w:b/>
                <w:bCs/>
                <w:color w:val="auto"/>
                <w:szCs w:val="21"/>
              </w:rPr>
              <w:t>微软”创新杯”编程大赛</w:t>
            </w:r>
          </w:p>
        </w:tc>
        <w:tc>
          <w:tcPr>
            <w:tcW w:w="2552" w:type="dxa"/>
            <w:vAlign w:val="center"/>
          </w:tcPr>
          <w:p w14:paraId="0FFC98F0">
            <w:pPr>
              <w:jc w:val="center"/>
              <w:rPr>
                <w:rFonts w:ascii="Times New Roman" w:hAnsi="Times New Roman" w:cs="Times New Roman"/>
                <w:bCs/>
                <w:color w:val="auto"/>
                <w:szCs w:val="21"/>
              </w:rPr>
            </w:pPr>
            <w:r>
              <w:rPr>
                <w:rFonts w:ascii="Times New Roman" w:hAnsi="Times New Roman" w:cs="Times New Roman"/>
                <w:color w:val="auto"/>
                <w:szCs w:val="21"/>
              </w:rPr>
              <w:t>微软</w:t>
            </w:r>
          </w:p>
        </w:tc>
        <w:tc>
          <w:tcPr>
            <w:tcW w:w="2409" w:type="dxa"/>
            <w:vAlign w:val="center"/>
          </w:tcPr>
          <w:p w14:paraId="6883D9E5">
            <w:pPr>
              <w:jc w:val="center"/>
              <w:rPr>
                <w:rFonts w:ascii="Times New Roman" w:hAnsi="Times New Roman" w:cs="Times New Roman"/>
                <w:b/>
                <w:bCs/>
                <w:color w:val="auto"/>
                <w:szCs w:val="21"/>
              </w:rPr>
            </w:pPr>
            <w:r>
              <w:rPr>
                <w:rFonts w:ascii="Times New Roman" w:hAnsi="Times New Roman" w:cs="Times New Roman"/>
                <w:color w:val="auto"/>
                <w:szCs w:val="21"/>
              </w:rPr>
              <w:t>每年10月份</w:t>
            </w:r>
          </w:p>
        </w:tc>
      </w:tr>
      <w:tr w14:paraId="608A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C60A124">
            <w:pPr>
              <w:jc w:val="center"/>
              <w:rPr>
                <w:rFonts w:ascii="Times New Roman" w:hAnsi="Times New Roman" w:cs="Times New Roman"/>
                <w:b/>
                <w:bCs/>
                <w:color w:val="auto"/>
                <w:szCs w:val="21"/>
              </w:rPr>
            </w:pPr>
            <w:r>
              <w:rPr>
                <w:rFonts w:ascii="Times New Roman" w:hAnsi="Times New Roman" w:cs="Times New Roman"/>
                <w:b/>
                <w:bCs/>
                <w:color w:val="auto"/>
                <w:szCs w:val="21"/>
              </w:rPr>
              <w:t>11</w:t>
            </w:r>
          </w:p>
        </w:tc>
        <w:tc>
          <w:tcPr>
            <w:tcW w:w="2835" w:type="dxa"/>
            <w:vAlign w:val="center"/>
          </w:tcPr>
          <w:p w14:paraId="3212D133">
            <w:pPr>
              <w:pStyle w:val="3"/>
              <w:rPr>
                <w:rFonts w:eastAsiaTheme="minorEastAsia"/>
                <w:b w:val="0"/>
                <w:bCs w:val="0"/>
                <w:color w:val="auto"/>
                <w:sz w:val="21"/>
                <w:szCs w:val="21"/>
              </w:rPr>
            </w:pPr>
            <w:r>
              <w:rPr>
                <w:rFonts w:eastAsiaTheme="minorEastAsia"/>
                <w:color w:val="auto"/>
                <w:sz w:val="21"/>
                <w:szCs w:val="21"/>
              </w:rPr>
              <w:t>全国大学生广告创意大赛</w:t>
            </w:r>
          </w:p>
        </w:tc>
        <w:tc>
          <w:tcPr>
            <w:tcW w:w="2552" w:type="dxa"/>
            <w:vAlign w:val="center"/>
          </w:tcPr>
          <w:p w14:paraId="16F05351">
            <w:pPr>
              <w:jc w:val="center"/>
              <w:rPr>
                <w:rFonts w:ascii="Times New Roman" w:hAnsi="Times New Roman" w:cs="Times New Roman"/>
                <w:color w:val="auto"/>
                <w:szCs w:val="21"/>
              </w:rPr>
            </w:pPr>
            <w:r>
              <w:rPr>
                <w:rFonts w:ascii="Times New Roman" w:hAnsi="Times New Roman" w:cs="Times New Roman"/>
                <w:color w:val="auto"/>
                <w:szCs w:val="21"/>
              </w:rPr>
              <w:t>主办：教育部高等教育司组织：教育部高等学校新闻学学科教学指导委员会</w:t>
            </w:r>
          </w:p>
          <w:p w14:paraId="1CB91056">
            <w:pPr>
              <w:jc w:val="center"/>
              <w:rPr>
                <w:rFonts w:ascii="Times New Roman" w:hAnsi="Times New Roman" w:cs="Times New Roman"/>
                <w:color w:val="auto"/>
                <w:szCs w:val="21"/>
              </w:rPr>
            </w:pPr>
            <w:r>
              <w:rPr>
                <w:rFonts w:ascii="Times New Roman" w:hAnsi="Times New Roman" w:cs="Times New Roman"/>
                <w:color w:val="auto"/>
                <w:szCs w:val="21"/>
              </w:rPr>
              <w:t>承办：北京联合大学广告学院/中国传媒大学广告学院</w:t>
            </w:r>
          </w:p>
        </w:tc>
        <w:tc>
          <w:tcPr>
            <w:tcW w:w="2409" w:type="dxa"/>
            <w:vAlign w:val="center"/>
          </w:tcPr>
          <w:p w14:paraId="02B478C8">
            <w:pPr>
              <w:jc w:val="center"/>
              <w:rPr>
                <w:rFonts w:ascii="Times New Roman" w:hAnsi="Times New Roman" w:cs="Times New Roman"/>
                <w:color w:val="auto"/>
                <w:szCs w:val="21"/>
              </w:rPr>
            </w:pPr>
            <w:r>
              <w:rPr>
                <w:rFonts w:ascii="Times New Roman" w:hAnsi="Times New Roman" w:cs="Times New Roman"/>
                <w:color w:val="auto"/>
                <w:szCs w:val="21"/>
              </w:rPr>
              <w:t>每年1月</w:t>
            </w:r>
          </w:p>
        </w:tc>
      </w:tr>
      <w:tr w14:paraId="538B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0E0BAFF">
            <w:pPr>
              <w:jc w:val="center"/>
              <w:rPr>
                <w:rFonts w:ascii="Times New Roman" w:hAnsi="Times New Roman" w:cs="Times New Roman"/>
                <w:b/>
                <w:bCs/>
                <w:color w:val="auto"/>
                <w:szCs w:val="21"/>
              </w:rPr>
            </w:pPr>
            <w:r>
              <w:rPr>
                <w:rFonts w:ascii="Times New Roman" w:hAnsi="Times New Roman" w:cs="Times New Roman"/>
                <w:b/>
                <w:bCs/>
                <w:color w:val="auto"/>
                <w:szCs w:val="21"/>
              </w:rPr>
              <w:t>12</w:t>
            </w:r>
          </w:p>
        </w:tc>
        <w:tc>
          <w:tcPr>
            <w:tcW w:w="2835" w:type="dxa"/>
            <w:vAlign w:val="center"/>
          </w:tcPr>
          <w:p w14:paraId="38729510">
            <w:pPr>
              <w:jc w:val="center"/>
              <w:rPr>
                <w:rFonts w:ascii="Times New Roman" w:hAnsi="Times New Roman" w:cs="Times New Roman"/>
                <w:b/>
                <w:bCs/>
                <w:color w:val="auto"/>
                <w:szCs w:val="21"/>
              </w:rPr>
            </w:pPr>
            <w:r>
              <w:rPr>
                <w:rFonts w:ascii="Times New Roman" w:hAnsi="Times New Roman" w:cs="Times New Roman"/>
                <w:b/>
                <w:bCs/>
                <w:color w:val="auto"/>
                <w:szCs w:val="21"/>
              </w:rPr>
              <w:t>全国高校景观设计毕业作品展</w:t>
            </w:r>
          </w:p>
        </w:tc>
        <w:tc>
          <w:tcPr>
            <w:tcW w:w="2552" w:type="dxa"/>
            <w:vAlign w:val="center"/>
          </w:tcPr>
          <w:p w14:paraId="1ECD6B25">
            <w:pPr>
              <w:jc w:val="center"/>
              <w:rPr>
                <w:rFonts w:ascii="Times New Roman" w:hAnsi="Times New Roman" w:cs="Times New Roman"/>
                <w:bCs/>
                <w:color w:val="auto"/>
                <w:szCs w:val="21"/>
              </w:rPr>
            </w:pPr>
            <w:r>
              <w:rPr>
                <w:rFonts w:ascii="Times New Roman" w:hAnsi="Times New Roman" w:cs="Times New Roman"/>
                <w:bCs/>
                <w:color w:val="auto"/>
                <w:szCs w:val="21"/>
              </w:rPr>
              <w:t>中国城市科学研究会景观学与美丽中国建设专业委员会</w:t>
            </w:r>
          </w:p>
        </w:tc>
        <w:tc>
          <w:tcPr>
            <w:tcW w:w="2409" w:type="dxa"/>
            <w:vAlign w:val="center"/>
          </w:tcPr>
          <w:p w14:paraId="4994263C">
            <w:pPr>
              <w:jc w:val="center"/>
              <w:rPr>
                <w:rFonts w:ascii="Times New Roman" w:hAnsi="Times New Roman" w:cs="Times New Roman"/>
                <w:b/>
                <w:bCs/>
                <w:color w:val="auto"/>
                <w:szCs w:val="21"/>
              </w:rPr>
            </w:pPr>
            <w:r>
              <w:rPr>
                <w:rFonts w:ascii="Times New Roman" w:hAnsi="Times New Roman" w:cs="Times New Roman"/>
                <w:color w:val="auto"/>
                <w:szCs w:val="21"/>
              </w:rPr>
              <w:t>每年9月份</w:t>
            </w:r>
          </w:p>
        </w:tc>
      </w:tr>
      <w:tr w14:paraId="3C9E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F137340">
            <w:pPr>
              <w:jc w:val="center"/>
              <w:rPr>
                <w:rFonts w:ascii="Times New Roman" w:hAnsi="Times New Roman" w:cs="Times New Roman"/>
                <w:b/>
                <w:bCs/>
                <w:color w:val="auto"/>
                <w:szCs w:val="21"/>
              </w:rPr>
            </w:pPr>
            <w:r>
              <w:rPr>
                <w:rFonts w:ascii="Times New Roman" w:hAnsi="Times New Roman" w:cs="Times New Roman"/>
                <w:b/>
                <w:bCs/>
                <w:color w:val="auto"/>
                <w:szCs w:val="21"/>
              </w:rPr>
              <w:t>13</w:t>
            </w:r>
          </w:p>
        </w:tc>
        <w:tc>
          <w:tcPr>
            <w:tcW w:w="2835" w:type="dxa"/>
            <w:vAlign w:val="center"/>
          </w:tcPr>
          <w:p w14:paraId="18392FB3">
            <w:pPr>
              <w:pStyle w:val="3"/>
              <w:rPr>
                <w:rFonts w:eastAsiaTheme="minorEastAsia"/>
                <w:b w:val="0"/>
                <w:bCs w:val="0"/>
                <w:color w:val="auto"/>
                <w:sz w:val="21"/>
                <w:szCs w:val="21"/>
              </w:rPr>
            </w:pPr>
            <w:r>
              <w:rPr>
                <w:rFonts w:eastAsiaTheme="minorEastAsia"/>
                <w:color w:val="auto"/>
                <w:sz w:val="21"/>
                <w:szCs w:val="21"/>
              </w:rPr>
              <w:t>周培源大学生力学竞赛</w:t>
            </w:r>
          </w:p>
        </w:tc>
        <w:tc>
          <w:tcPr>
            <w:tcW w:w="2552" w:type="dxa"/>
            <w:vAlign w:val="center"/>
          </w:tcPr>
          <w:p w14:paraId="64E7AA83">
            <w:pPr>
              <w:jc w:val="center"/>
              <w:rPr>
                <w:rFonts w:ascii="Times New Roman" w:hAnsi="Times New Roman" w:cs="Times New Roman"/>
                <w:color w:val="auto"/>
                <w:szCs w:val="21"/>
              </w:rPr>
            </w:pPr>
            <w:r>
              <w:rPr>
                <w:rFonts w:ascii="Times New Roman" w:hAnsi="Times New Roman" w:cs="Times New Roman"/>
                <w:color w:val="auto"/>
                <w:szCs w:val="21"/>
              </w:rPr>
              <w:t>教育部高等学</w:t>
            </w:r>
          </w:p>
          <w:p w14:paraId="26853E2E">
            <w:pPr>
              <w:jc w:val="center"/>
              <w:rPr>
                <w:rFonts w:ascii="Times New Roman" w:hAnsi="Times New Roman" w:cs="Times New Roman"/>
                <w:color w:val="auto"/>
                <w:szCs w:val="21"/>
              </w:rPr>
            </w:pPr>
            <w:r>
              <w:rPr>
                <w:rFonts w:ascii="Times New Roman" w:hAnsi="Times New Roman" w:cs="Times New Roman"/>
                <w:color w:val="auto"/>
                <w:szCs w:val="21"/>
              </w:rPr>
              <w:t>校力学教学指导委员会</w:t>
            </w:r>
          </w:p>
        </w:tc>
        <w:tc>
          <w:tcPr>
            <w:tcW w:w="2409" w:type="dxa"/>
            <w:vAlign w:val="center"/>
          </w:tcPr>
          <w:p w14:paraId="60AF3556">
            <w:pPr>
              <w:jc w:val="center"/>
              <w:rPr>
                <w:rFonts w:ascii="Times New Roman" w:hAnsi="Times New Roman" w:cs="Times New Roman"/>
                <w:color w:val="auto"/>
                <w:szCs w:val="21"/>
              </w:rPr>
            </w:pPr>
            <w:r>
              <w:rPr>
                <w:rFonts w:ascii="Times New Roman" w:hAnsi="Times New Roman" w:cs="Times New Roman"/>
                <w:color w:val="auto"/>
                <w:szCs w:val="21"/>
              </w:rPr>
              <w:t>每年5月</w:t>
            </w:r>
          </w:p>
        </w:tc>
      </w:tr>
      <w:tr w14:paraId="646F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96A80C7">
            <w:pPr>
              <w:jc w:val="center"/>
              <w:rPr>
                <w:rFonts w:ascii="Times New Roman" w:hAnsi="Times New Roman" w:cs="Times New Roman"/>
                <w:b/>
                <w:bCs/>
                <w:color w:val="auto"/>
                <w:szCs w:val="21"/>
              </w:rPr>
            </w:pPr>
            <w:r>
              <w:rPr>
                <w:rFonts w:ascii="Times New Roman" w:hAnsi="Times New Roman" w:cs="Times New Roman"/>
                <w:b/>
                <w:bCs/>
                <w:color w:val="auto"/>
                <w:szCs w:val="21"/>
              </w:rPr>
              <w:t>14</w:t>
            </w:r>
          </w:p>
        </w:tc>
        <w:tc>
          <w:tcPr>
            <w:tcW w:w="2835" w:type="dxa"/>
            <w:vAlign w:val="center"/>
          </w:tcPr>
          <w:p w14:paraId="25DB2132">
            <w:pPr>
              <w:jc w:val="center"/>
              <w:rPr>
                <w:rFonts w:ascii="Times New Roman" w:hAnsi="Times New Roman" w:cs="Times New Roman"/>
                <w:b/>
                <w:bCs/>
                <w:color w:val="auto"/>
                <w:szCs w:val="21"/>
              </w:rPr>
            </w:pPr>
            <w:r>
              <w:rPr>
                <w:rFonts w:ascii="Times New Roman" w:hAnsi="Times New Roman" w:cs="Times New Roman"/>
                <w:b/>
                <w:bCs/>
                <w:color w:val="auto"/>
                <w:szCs w:val="21"/>
              </w:rPr>
              <w:t>全国大学生结构设计大赛</w:t>
            </w:r>
          </w:p>
        </w:tc>
        <w:tc>
          <w:tcPr>
            <w:tcW w:w="2552" w:type="dxa"/>
            <w:vAlign w:val="center"/>
          </w:tcPr>
          <w:p w14:paraId="629538E7">
            <w:pPr>
              <w:jc w:val="center"/>
              <w:rPr>
                <w:rFonts w:ascii="Times New Roman" w:hAnsi="Times New Roman" w:cs="Times New Roman"/>
                <w:bCs/>
                <w:color w:val="auto"/>
                <w:szCs w:val="21"/>
              </w:rPr>
            </w:pPr>
            <w:r>
              <w:rPr>
                <w:rFonts w:ascii="Times New Roman" w:hAnsi="Times New Roman" w:cs="Times New Roman"/>
                <w:bCs/>
                <w:color w:val="auto"/>
                <w:szCs w:val="21"/>
              </w:rPr>
              <w:t>国家教育部、住房和城乡建设部、中国土木工程学会</w:t>
            </w:r>
          </w:p>
        </w:tc>
        <w:tc>
          <w:tcPr>
            <w:tcW w:w="2409" w:type="dxa"/>
            <w:vAlign w:val="center"/>
          </w:tcPr>
          <w:p w14:paraId="11B4E989">
            <w:pPr>
              <w:jc w:val="center"/>
              <w:rPr>
                <w:rFonts w:ascii="Times New Roman" w:hAnsi="Times New Roman" w:cs="Times New Roman"/>
                <w:b/>
                <w:bCs/>
                <w:color w:val="auto"/>
                <w:szCs w:val="21"/>
              </w:rPr>
            </w:pPr>
            <w:r>
              <w:rPr>
                <w:rFonts w:ascii="Times New Roman" w:hAnsi="Times New Roman" w:cs="Times New Roman"/>
                <w:color w:val="auto"/>
                <w:szCs w:val="21"/>
              </w:rPr>
              <w:t>每年</w:t>
            </w:r>
          </w:p>
        </w:tc>
      </w:tr>
      <w:tr w14:paraId="3AF5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48A3095">
            <w:pPr>
              <w:jc w:val="center"/>
              <w:rPr>
                <w:rFonts w:ascii="Times New Roman" w:hAnsi="Times New Roman" w:cs="Times New Roman"/>
                <w:b/>
                <w:bCs/>
                <w:color w:val="auto"/>
                <w:szCs w:val="21"/>
              </w:rPr>
            </w:pPr>
            <w:r>
              <w:rPr>
                <w:rFonts w:ascii="Times New Roman" w:hAnsi="Times New Roman" w:cs="Times New Roman"/>
                <w:b/>
                <w:bCs/>
                <w:color w:val="auto"/>
                <w:szCs w:val="21"/>
              </w:rPr>
              <w:t>15</w:t>
            </w:r>
          </w:p>
        </w:tc>
        <w:tc>
          <w:tcPr>
            <w:tcW w:w="2835" w:type="dxa"/>
            <w:vAlign w:val="center"/>
          </w:tcPr>
          <w:p w14:paraId="3476A024">
            <w:pPr>
              <w:pStyle w:val="3"/>
              <w:rPr>
                <w:rFonts w:eastAsiaTheme="minorEastAsia"/>
                <w:bCs w:val="0"/>
                <w:color w:val="auto"/>
                <w:sz w:val="21"/>
                <w:szCs w:val="21"/>
              </w:rPr>
            </w:pPr>
            <w:r>
              <w:rPr>
                <w:rFonts w:eastAsiaTheme="minorEastAsia"/>
                <w:bCs w:val="0"/>
                <w:color w:val="auto"/>
                <w:sz w:val="21"/>
                <w:szCs w:val="21"/>
              </w:rPr>
              <w:t>中国大学生汽车创意设计大赛</w:t>
            </w:r>
          </w:p>
        </w:tc>
        <w:tc>
          <w:tcPr>
            <w:tcW w:w="2552" w:type="dxa"/>
            <w:vAlign w:val="center"/>
          </w:tcPr>
          <w:p w14:paraId="45EA6104">
            <w:pPr>
              <w:jc w:val="center"/>
              <w:rPr>
                <w:rFonts w:ascii="Times New Roman" w:hAnsi="Times New Roman" w:cs="Times New Roman"/>
                <w:color w:val="auto"/>
                <w:szCs w:val="21"/>
              </w:rPr>
            </w:pPr>
            <w:r>
              <w:rPr>
                <w:rFonts w:ascii="Times New Roman" w:hAnsi="Times New Roman" w:cs="Times New Roman"/>
                <w:color w:val="auto"/>
                <w:szCs w:val="21"/>
              </w:rPr>
              <w:t>中国创造学会</w:t>
            </w:r>
          </w:p>
        </w:tc>
        <w:tc>
          <w:tcPr>
            <w:tcW w:w="2409" w:type="dxa"/>
            <w:vAlign w:val="center"/>
          </w:tcPr>
          <w:p w14:paraId="4B98AB6C">
            <w:pPr>
              <w:jc w:val="center"/>
              <w:rPr>
                <w:rFonts w:ascii="Times New Roman" w:hAnsi="Times New Roman" w:cs="Times New Roman"/>
                <w:color w:val="auto"/>
                <w:szCs w:val="21"/>
              </w:rPr>
            </w:pPr>
            <w:r>
              <w:rPr>
                <w:rFonts w:ascii="Times New Roman" w:hAnsi="Times New Roman" w:cs="Times New Roman"/>
                <w:color w:val="auto"/>
                <w:szCs w:val="21"/>
              </w:rPr>
              <w:t>每年</w:t>
            </w:r>
          </w:p>
        </w:tc>
      </w:tr>
      <w:tr w14:paraId="37AB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9F273DD">
            <w:pPr>
              <w:jc w:val="center"/>
              <w:rPr>
                <w:rFonts w:ascii="Times New Roman" w:hAnsi="Times New Roman" w:cs="Times New Roman"/>
                <w:b/>
                <w:bCs/>
                <w:color w:val="auto"/>
                <w:szCs w:val="21"/>
              </w:rPr>
            </w:pPr>
            <w:r>
              <w:rPr>
                <w:rFonts w:ascii="Times New Roman" w:hAnsi="Times New Roman" w:cs="Times New Roman"/>
                <w:b/>
                <w:bCs/>
                <w:color w:val="auto"/>
                <w:szCs w:val="21"/>
              </w:rPr>
              <w:t>16</w:t>
            </w:r>
          </w:p>
        </w:tc>
        <w:tc>
          <w:tcPr>
            <w:tcW w:w="2835" w:type="dxa"/>
            <w:vAlign w:val="center"/>
          </w:tcPr>
          <w:p w14:paraId="1553E7E3">
            <w:pPr>
              <w:widowControl/>
              <w:spacing w:before="100" w:beforeAutospacing="1" w:after="100" w:afterAutospacing="1"/>
              <w:jc w:val="center"/>
              <w:outlineLvl w:val="1"/>
              <w:rPr>
                <w:rFonts w:ascii="Times New Roman" w:hAnsi="Times New Roman" w:cs="Times New Roman"/>
                <w:b/>
                <w:bCs/>
                <w:color w:val="auto"/>
                <w:szCs w:val="21"/>
              </w:rPr>
            </w:pPr>
            <w:r>
              <w:rPr>
                <w:rFonts w:ascii="Times New Roman" w:hAnsi="Times New Roman" w:cs="Times New Roman"/>
                <w:b/>
                <w:color w:val="auto"/>
                <w:szCs w:val="21"/>
              </w:rPr>
              <w:t>全国大学生原创动画设计大赛</w:t>
            </w:r>
          </w:p>
        </w:tc>
        <w:tc>
          <w:tcPr>
            <w:tcW w:w="2552" w:type="dxa"/>
            <w:vAlign w:val="center"/>
          </w:tcPr>
          <w:p w14:paraId="4EF3B9F1">
            <w:pPr>
              <w:jc w:val="center"/>
              <w:rPr>
                <w:rFonts w:ascii="Times New Roman" w:hAnsi="Times New Roman" w:cs="Times New Roman"/>
                <w:bCs/>
                <w:color w:val="auto"/>
                <w:szCs w:val="21"/>
              </w:rPr>
            </w:pPr>
            <w:r>
              <w:rPr>
                <w:rFonts w:ascii="Times New Roman" w:hAnsi="Times New Roman" w:cs="Times New Roman"/>
                <w:color w:val="auto"/>
                <w:szCs w:val="21"/>
              </w:rPr>
              <w:t>中国国际漫画节组委会</w:t>
            </w:r>
          </w:p>
        </w:tc>
        <w:tc>
          <w:tcPr>
            <w:tcW w:w="2409" w:type="dxa"/>
            <w:vAlign w:val="center"/>
          </w:tcPr>
          <w:p w14:paraId="77314184">
            <w:pPr>
              <w:jc w:val="center"/>
              <w:rPr>
                <w:rFonts w:ascii="Times New Roman" w:hAnsi="Times New Roman" w:cs="Times New Roman"/>
                <w:b/>
                <w:bCs/>
                <w:color w:val="auto"/>
                <w:szCs w:val="21"/>
              </w:rPr>
            </w:pPr>
            <w:r>
              <w:rPr>
                <w:rFonts w:ascii="Times New Roman" w:hAnsi="Times New Roman" w:cs="Times New Roman"/>
                <w:color w:val="auto"/>
                <w:szCs w:val="21"/>
              </w:rPr>
              <w:t>每年</w:t>
            </w:r>
          </w:p>
        </w:tc>
      </w:tr>
      <w:tr w14:paraId="1884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562E08E">
            <w:pPr>
              <w:jc w:val="center"/>
              <w:rPr>
                <w:rFonts w:ascii="Times New Roman" w:hAnsi="Times New Roman" w:cs="Times New Roman"/>
                <w:b/>
                <w:bCs/>
                <w:color w:val="auto"/>
                <w:szCs w:val="21"/>
              </w:rPr>
            </w:pPr>
            <w:r>
              <w:rPr>
                <w:rFonts w:ascii="Times New Roman" w:hAnsi="Times New Roman" w:cs="Times New Roman"/>
                <w:b/>
                <w:bCs/>
                <w:color w:val="auto"/>
                <w:szCs w:val="21"/>
              </w:rPr>
              <w:t>17</w:t>
            </w:r>
          </w:p>
        </w:tc>
        <w:tc>
          <w:tcPr>
            <w:tcW w:w="2835" w:type="dxa"/>
            <w:vAlign w:val="center"/>
          </w:tcPr>
          <w:p w14:paraId="7D4D92BB">
            <w:pPr>
              <w:pStyle w:val="3"/>
              <w:rPr>
                <w:rFonts w:eastAsiaTheme="minorEastAsia"/>
                <w:b w:val="0"/>
                <w:bCs w:val="0"/>
                <w:color w:val="auto"/>
                <w:sz w:val="21"/>
                <w:szCs w:val="21"/>
              </w:rPr>
            </w:pPr>
            <w:r>
              <w:rPr>
                <w:rFonts w:eastAsiaTheme="minorEastAsia"/>
                <w:color w:val="auto"/>
                <w:sz w:val="21"/>
                <w:szCs w:val="21"/>
              </w:rPr>
              <w:t>全国大学生化学实验竞赛</w:t>
            </w:r>
          </w:p>
        </w:tc>
        <w:tc>
          <w:tcPr>
            <w:tcW w:w="2552" w:type="dxa"/>
            <w:vAlign w:val="center"/>
          </w:tcPr>
          <w:p w14:paraId="24030666">
            <w:pPr>
              <w:jc w:val="center"/>
              <w:rPr>
                <w:rFonts w:ascii="Times New Roman" w:hAnsi="Times New Roman" w:cs="Times New Roman"/>
                <w:color w:val="auto"/>
                <w:szCs w:val="21"/>
              </w:rPr>
            </w:pPr>
            <w:r>
              <w:rPr>
                <w:rFonts w:ascii="Times New Roman" w:hAnsi="Times New Roman" w:cs="Times New Roman"/>
                <w:color w:val="auto"/>
                <w:szCs w:val="21"/>
              </w:rPr>
              <w:t>国家自然科学基金委和教育部</w:t>
            </w:r>
          </w:p>
        </w:tc>
        <w:tc>
          <w:tcPr>
            <w:tcW w:w="2409" w:type="dxa"/>
            <w:vAlign w:val="center"/>
          </w:tcPr>
          <w:p w14:paraId="23193147">
            <w:pPr>
              <w:jc w:val="center"/>
              <w:rPr>
                <w:rFonts w:ascii="Times New Roman" w:hAnsi="Times New Roman" w:cs="Times New Roman"/>
                <w:color w:val="auto"/>
                <w:szCs w:val="21"/>
              </w:rPr>
            </w:pPr>
            <w:r>
              <w:rPr>
                <w:rFonts w:ascii="Times New Roman" w:hAnsi="Times New Roman" w:cs="Times New Roman"/>
                <w:color w:val="auto"/>
                <w:szCs w:val="21"/>
              </w:rPr>
              <w:t>每两年一次</w:t>
            </w:r>
          </w:p>
        </w:tc>
      </w:tr>
      <w:tr w14:paraId="49CA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13693D1">
            <w:pPr>
              <w:jc w:val="center"/>
              <w:rPr>
                <w:rFonts w:ascii="Times New Roman" w:hAnsi="Times New Roman" w:cs="Times New Roman"/>
                <w:b/>
                <w:bCs/>
                <w:color w:val="auto"/>
                <w:szCs w:val="21"/>
              </w:rPr>
            </w:pPr>
            <w:r>
              <w:rPr>
                <w:rFonts w:ascii="Times New Roman" w:hAnsi="Times New Roman" w:cs="Times New Roman"/>
                <w:b/>
                <w:bCs/>
                <w:color w:val="auto"/>
                <w:szCs w:val="21"/>
              </w:rPr>
              <w:t>18</w:t>
            </w:r>
          </w:p>
        </w:tc>
        <w:tc>
          <w:tcPr>
            <w:tcW w:w="2835" w:type="dxa"/>
            <w:vAlign w:val="center"/>
          </w:tcPr>
          <w:p w14:paraId="45D18281">
            <w:pPr>
              <w:widowControl/>
              <w:spacing w:before="100" w:beforeAutospacing="1" w:after="100" w:afterAutospacing="1"/>
              <w:jc w:val="center"/>
              <w:outlineLvl w:val="1"/>
              <w:rPr>
                <w:rFonts w:ascii="Times New Roman" w:hAnsi="Times New Roman" w:cs="Times New Roman"/>
                <w:b/>
                <w:bCs/>
                <w:color w:val="auto"/>
                <w:szCs w:val="21"/>
              </w:rPr>
            </w:pPr>
            <w:r>
              <w:rPr>
                <w:rFonts w:ascii="Times New Roman" w:hAnsi="Times New Roman" w:cs="Times New Roman"/>
                <w:b/>
                <w:bCs/>
                <w:color w:val="auto"/>
                <w:szCs w:val="21"/>
              </w:rPr>
              <w:t>全国大学生节能减排社会实践与科技竞赛</w:t>
            </w:r>
          </w:p>
        </w:tc>
        <w:tc>
          <w:tcPr>
            <w:tcW w:w="2552" w:type="dxa"/>
            <w:vAlign w:val="center"/>
          </w:tcPr>
          <w:p w14:paraId="118876F1">
            <w:pPr>
              <w:jc w:val="center"/>
              <w:rPr>
                <w:rFonts w:ascii="Times New Roman" w:hAnsi="Times New Roman" w:cs="Times New Roman"/>
                <w:bCs/>
                <w:color w:val="auto"/>
                <w:szCs w:val="21"/>
              </w:rPr>
            </w:pPr>
            <w:r>
              <w:rPr>
                <w:rFonts w:ascii="Times New Roman" w:hAnsi="Times New Roman" w:cs="Times New Roman"/>
                <w:bCs/>
                <w:color w:val="auto"/>
                <w:szCs w:val="21"/>
              </w:rPr>
              <w:t>教育部高等学校能源动力学科教学指导委员会</w:t>
            </w:r>
          </w:p>
        </w:tc>
        <w:tc>
          <w:tcPr>
            <w:tcW w:w="2409" w:type="dxa"/>
            <w:vAlign w:val="center"/>
          </w:tcPr>
          <w:p w14:paraId="3B47BA7E">
            <w:pPr>
              <w:jc w:val="center"/>
              <w:rPr>
                <w:rFonts w:ascii="Times New Roman" w:hAnsi="Times New Roman" w:cs="Times New Roman"/>
                <w:b/>
                <w:bCs/>
                <w:color w:val="auto"/>
                <w:szCs w:val="21"/>
              </w:rPr>
            </w:pPr>
            <w:r>
              <w:rPr>
                <w:rFonts w:ascii="Times New Roman" w:hAnsi="Times New Roman" w:cs="Times New Roman"/>
                <w:color w:val="auto"/>
                <w:szCs w:val="21"/>
              </w:rPr>
              <w:t>每年4月</w:t>
            </w:r>
          </w:p>
        </w:tc>
      </w:tr>
      <w:tr w14:paraId="3459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EA36DA4">
            <w:pPr>
              <w:jc w:val="center"/>
              <w:rPr>
                <w:rFonts w:ascii="Times New Roman" w:hAnsi="Times New Roman" w:cs="Times New Roman"/>
                <w:b/>
                <w:bCs/>
                <w:color w:val="auto"/>
                <w:szCs w:val="21"/>
              </w:rPr>
            </w:pPr>
            <w:r>
              <w:rPr>
                <w:rFonts w:ascii="Times New Roman" w:hAnsi="Times New Roman" w:cs="Times New Roman"/>
                <w:b/>
                <w:bCs/>
                <w:color w:val="auto"/>
                <w:szCs w:val="21"/>
              </w:rPr>
              <w:t>19</w:t>
            </w:r>
          </w:p>
        </w:tc>
        <w:tc>
          <w:tcPr>
            <w:tcW w:w="2835" w:type="dxa"/>
            <w:vAlign w:val="center"/>
          </w:tcPr>
          <w:p w14:paraId="0EB20DC3">
            <w:pPr>
              <w:pStyle w:val="3"/>
              <w:rPr>
                <w:rFonts w:eastAsiaTheme="minorEastAsia"/>
                <w:bCs w:val="0"/>
                <w:color w:val="auto"/>
                <w:sz w:val="21"/>
                <w:szCs w:val="21"/>
              </w:rPr>
            </w:pPr>
            <w:r>
              <w:rPr>
                <w:rFonts w:eastAsiaTheme="minorEastAsia"/>
                <w:bCs w:val="0"/>
                <w:color w:val="auto"/>
                <w:sz w:val="21"/>
                <w:szCs w:val="21"/>
              </w:rPr>
              <w:t>全国三维数字化创新设计大赛</w:t>
            </w:r>
          </w:p>
        </w:tc>
        <w:tc>
          <w:tcPr>
            <w:tcW w:w="2552" w:type="dxa"/>
            <w:vAlign w:val="center"/>
          </w:tcPr>
          <w:p w14:paraId="5FC6BBF1">
            <w:pPr>
              <w:jc w:val="center"/>
              <w:rPr>
                <w:rFonts w:ascii="Times New Roman" w:hAnsi="Times New Roman" w:cs="Times New Roman"/>
                <w:color w:val="auto"/>
                <w:szCs w:val="21"/>
              </w:rPr>
            </w:pPr>
            <w:r>
              <w:rPr>
                <w:rFonts w:ascii="Times New Roman" w:hAnsi="Times New Roman" w:cs="Times New Roman"/>
                <w:color w:val="auto"/>
                <w:szCs w:val="21"/>
              </w:rPr>
              <w:t>科技部国家制造业信息化培训中心</w:t>
            </w:r>
          </w:p>
        </w:tc>
        <w:tc>
          <w:tcPr>
            <w:tcW w:w="2409" w:type="dxa"/>
            <w:vAlign w:val="center"/>
          </w:tcPr>
          <w:p w14:paraId="6624FF0A">
            <w:pPr>
              <w:jc w:val="center"/>
              <w:rPr>
                <w:rFonts w:ascii="Times New Roman" w:hAnsi="Times New Roman" w:cs="Times New Roman"/>
                <w:color w:val="auto"/>
                <w:szCs w:val="21"/>
              </w:rPr>
            </w:pPr>
            <w:r>
              <w:rPr>
                <w:rFonts w:ascii="Times New Roman" w:hAnsi="Times New Roman" w:cs="Times New Roman"/>
                <w:color w:val="auto"/>
                <w:szCs w:val="21"/>
              </w:rPr>
              <w:t>每年3月</w:t>
            </w:r>
          </w:p>
        </w:tc>
      </w:tr>
      <w:tr w14:paraId="303D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7FF5B6B">
            <w:pPr>
              <w:jc w:val="center"/>
              <w:rPr>
                <w:rFonts w:ascii="Times New Roman" w:hAnsi="Times New Roman" w:cs="Times New Roman"/>
                <w:b/>
                <w:bCs/>
                <w:color w:val="auto"/>
                <w:szCs w:val="21"/>
              </w:rPr>
            </w:pPr>
            <w:r>
              <w:rPr>
                <w:rFonts w:ascii="Times New Roman" w:hAnsi="Times New Roman" w:cs="Times New Roman"/>
                <w:b/>
                <w:bCs/>
                <w:color w:val="auto"/>
                <w:szCs w:val="21"/>
              </w:rPr>
              <w:t>20</w:t>
            </w:r>
          </w:p>
        </w:tc>
        <w:tc>
          <w:tcPr>
            <w:tcW w:w="2835" w:type="dxa"/>
            <w:vAlign w:val="center"/>
          </w:tcPr>
          <w:p w14:paraId="7A62EE43">
            <w:pPr>
              <w:widowControl/>
              <w:spacing w:before="100" w:beforeAutospacing="1" w:after="100" w:afterAutospacing="1"/>
              <w:jc w:val="center"/>
              <w:outlineLvl w:val="1"/>
              <w:rPr>
                <w:rFonts w:ascii="Times New Roman" w:hAnsi="Times New Roman" w:cs="Times New Roman"/>
                <w:b/>
                <w:bCs/>
                <w:color w:val="auto"/>
                <w:szCs w:val="21"/>
              </w:rPr>
            </w:pPr>
            <w:r>
              <w:rPr>
                <w:rFonts w:ascii="Times New Roman" w:hAnsi="Times New Roman" w:cs="Times New Roman"/>
                <w:b/>
                <w:color w:val="auto"/>
                <w:kern w:val="0"/>
                <w:szCs w:val="21"/>
              </w:rPr>
              <w:t>全国大学生物流设计大赛</w:t>
            </w:r>
          </w:p>
        </w:tc>
        <w:tc>
          <w:tcPr>
            <w:tcW w:w="2552" w:type="dxa"/>
            <w:vAlign w:val="center"/>
          </w:tcPr>
          <w:p w14:paraId="405B6ABD">
            <w:pPr>
              <w:jc w:val="center"/>
              <w:rPr>
                <w:rFonts w:ascii="Times New Roman" w:hAnsi="Times New Roman" w:cs="Times New Roman"/>
                <w:bCs/>
                <w:color w:val="auto"/>
                <w:szCs w:val="21"/>
              </w:rPr>
            </w:pPr>
            <w:r>
              <w:rPr>
                <w:rFonts w:ascii="Times New Roman" w:hAnsi="Times New Roman" w:cs="Times New Roman"/>
                <w:color w:val="auto"/>
                <w:szCs w:val="21"/>
              </w:rPr>
              <w:t>教育部高等学校物流类专业教学指导委员会</w:t>
            </w:r>
          </w:p>
        </w:tc>
        <w:tc>
          <w:tcPr>
            <w:tcW w:w="2409" w:type="dxa"/>
            <w:vAlign w:val="center"/>
          </w:tcPr>
          <w:p w14:paraId="0E1AABCE">
            <w:pPr>
              <w:jc w:val="center"/>
              <w:rPr>
                <w:rFonts w:ascii="Times New Roman" w:hAnsi="Times New Roman" w:cs="Times New Roman"/>
                <w:color w:val="auto"/>
                <w:szCs w:val="21"/>
              </w:rPr>
            </w:pPr>
            <w:r>
              <w:rPr>
                <w:rFonts w:ascii="Times New Roman" w:hAnsi="Times New Roman" w:cs="Times New Roman"/>
                <w:color w:val="auto"/>
                <w:szCs w:val="21"/>
              </w:rPr>
              <w:t>每年4月</w:t>
            </w:r>
          </w:p>
        </w:tc>
      </w:tr>
      <w:tr w14:paraId="13CB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B352B4F">
            <w:pPr>
              <w:jc w:val="center"/>
              <w:rPr>
                <w:rFonts w:ascii="Times New Roman" w:hAnsi="Times New Roman" w:cs="Times New Roman"/>
                <w:b/>
                <w:bCs/>
                <w:color w:val="auto"/>
                <w:szCs w:val="21"/>
              </w:rPr>
            </w:pPr>
            <w:r>
              <w:rPr>
                <w:rFonts w:ascii="Times New Roman" w:hAnsi="Times New Roman" w:cs="Times New Roman"/>
                <w:b/>
                <w:bCs/>
                <w:color w:val="auto"/>
                <w:szCs w:val="21"/>
              </w:rPr>
              <w:t>21</w:t>
            </w:r>
          </w:p>
        </w:tc>
        <w:tc>
          <w:tcPr>
            <w:tcW w:w="2835" w:type="dxa"/>
            <w:vAlign w:val="center"/>
          </w:tcPr>
          <w:p w14:paraId="51CB5CCD">
            <w:pPr>
              <w:pStyle w:val="3"/>
              <w:rPr>
                <w:rFonts w:eastAsiaTheme="minorEastAsia"/>
                <w:bCs w:val="0"/>
                <w:color w:val="auto"/>
                <w:sz w:val="21"/>
                <w:szCs w:val="21"/>
              </w:rPr>
            </w:pPr>
            <w:r>
              <w:rPr>
                <w:rFonts w:eastAsiaTheme="minorEastAsia"/>
                <w:bCs w:val="0"/>
                <w:color w:val="auto"/>
                <w:sz w:val="21"/>
                <w:szCs w:val="21"/>
              </w:rPr>
              <w:t>全国大学生化工设计竞赛</w:t>
            </w:r>
          </w:p>
        </w:tc>
        <w:tc>
          <w:tcPr>
            <w:tcW w:w="2552" w:type="dxa"/>
            <w:vAlign w:val="center"/>
          </w:tcPr>
          <w:p w14:paraId="01B3FBEB">
            <w:pPr>
              <w:jc w:val="center"/>
              <w:rPr>
                <w:rFonts w:ascii="Times New Roman" w:hAnsi="Times New Roman" w:cs="Times New Roman"/>
                <w:color w:val="auto"/>
                <w:szCs w:val="21"/>
              </w:rPr>
            </w:pPr>
            <w:r>
              <w:rPr>
                <w:rFonts w:ascii="Times New Roman" w:hAnsi="Times New Roman" w:cs="Times New Roman"/>
                <w:color w:val="auto"/>
                <w:szCs w:val="21"/>
              </w:rPr>
              <w:t>中国化工学会化学工程专业委员会</w:t>
            </w:r>
          </w:p>
        </w:tc>
        <w:tc>
          <w:tcPr>
            <w:tcW w:w="2409" w:type="dxa"/>
            <w:vAlign w:val="center"/>
          </w:tcPr>
          <w:p w14:paraId="70D418DF">
            <w:pPr>
              <w:jc w:val="center"/>
              <w:rPr>
                <w:rFonts w:ascii="Times New Roman" w:hAnsi="Times New Roman" w:cs="Times New Roman"/>
                <w:color w:val="auto"/>
                <w:szCs w:val="21"/>
              </w:rPr>
            </w:pPr>
            <w:r>
              <w:rPr>
                <w:rFonts w:ascii="Times New Roman" w:hAnsi="Times New Roman" w:cs="Times New Roman"/>
                <w:color w:val="auto"/>
                <w:szCs w:val="21"/>
              </w:rPr>
              <w:t>每年5月份报名，8月份决赛</w:t>
            </w:r>
          </w:p>
        </w:tc>
      </w:tr>
      <w:tr w14:paraId="6EA8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FC5C3AD">
            <w:pPr>
              <w:jc w:val="center"/>
              <w:rPr>
                <w:rFonts w:ascii="Times New Roman" w:hAnsi="Times New Roman" w:cs="Times New Roman"/>
                <w:b/>
                <w:bCs/>
                <w:color w:val="auto"/>
                <w:szCs w:val="21"/>
              </w:rPr>
            </w:pPr>
            <w:r>
              <w:rPr>
                <w:rFonts w:ascii="Times New Roman" w:hAnsi="Times New Roman" w:cs="Times New Roman"/>
                <w:b/>
                <w:bCs/>
                <w:color w:val="auto"/>
                <w:szCs w:val="21"/>
              </w:rPr>
              <w:t>22</w:t>
            </w:r>
          </w:p>
        </w:tc>
        <w:tc>
          <w:tcPr>
            <w:tcW w:w="2835" w:type="dxa"/>
            <w:vAlign w:val="center"/>
          </w:tcPr>
          <w:p w14:paraId="10F0AA81">
            <w:pPr>
              <w:widowControl/>
              <w:spacing w:before="100" w:beforeAutospacing="1" w:after="100" w:afterAutospacing="1"/>
              <w:jc w:val="center"/>
              <w:outlineLvl w:val="1"/>
              <w:rPr>
                <w:rFonts w:ascii="Times New Roman" w:hAnsi="Times New Roman" w:cs="Times New Roman"/>
                <w:b/>
                <w:bCs/>
                <w:color w:val="auto"/>
                <w:szCs w:val="21"/>
              </w:rPr>
            </w:pPr>
            <w:r>
              <w:rPr>
                <w:rFonts w:ascii="Times New Roman" w:hAnsi="Times New Roman" w:cs="Times New Roman"/>
                <w:b/>
                <w:bCs/>
                <w:color w:val="auto"/>
                <w:szCs w:val="21"/>
              </w:rPr>
              <w:t>全国电子商务大赛</w:t>
            </w:r>
          </w:p>
        </w:tc>
        <w:tc>
          <w:tcPr>
            <w:tcW w:w="2552" w:type="dxa"/>
            <w:vAlign w:val="center"/>
          </w:tcPr>
          <w:p w14:paraId="7BC9C4A4">
            <w:pPr>
              <w:jc w:val="center"/>
              <w:rPr>
                <w:rFonts w:ascii="Times New Roman" w:hAnsi="Times New Roman" w:cs="Times New Roman"/>
                <w:bCs/>
                <w:color w:val="auto"/>
                <w:szCs w:val="21"/>
              </w:rPr>
            </w:pPr>
            <w:r>
              <w:rPr>
                <w:rFonts w:ascii="Times New Roman" w:hAnsi="Times New Roman" w:cs="Times New Roman"/>
                <w:bCs/>
                <w:color w:val="auto"/>
                <w:szCs w:val="21"/>
              </w:rPr>
              <w:t>中华人民共和国劳动和社会保障部</w:t>
            </w:r>
          </w:p>
        </w:tc>
        <w:tc>
          <w:tcPr>
            <w:tcW w:w="2409" w:type="dxa"/>
            <w:vAlign w:val="center"/>
          </w:tcPr>
          <w:p w14:paraId="0689C71C">
            <w:pPr>
              <w:jc w:val="center"/>
              <w:rPr>
                <w:rFonts w:ascii="Times New Roman" w:hAnsi="Times New Roman" w:cs="Times New Roman"/>
                <w:color w:val="auto"/>
                <w:szCs w:val="21"/>
              </w:rPr>
            </w:pPr>
            <w:r>
              <w:rPr>
                <w:rFonts w:ascii="Times New Roman" w:hAnsi="Times New Roman" w:cs="Times New Roman"/>
                <w:color w:val="auto"/>
                <w:szCs w:val="21"/>
              </w:rPr>
              <w:t>每两年一次</w:t>
            </w:r>
          </w:p>
        </w:tc>
      </w:tr>
      <w:tr w14:paraId="302C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64517A1">
            <w:pPr>
              <w:jc w:val="center"/>
              <w:rPr>
                <w:rFonts w:ascii="Times New Roman" w:hAnsi="Times New Roman" w:cs="Times New Roman"/>
                <w:b/>
                <w:bCs/>
                <w:color w:val="auto"/>
                <w:szCs w:val="21"/>
              </w:rPr>
            </w:pPr>
            <w:r>
              <w:rPr>
                <w:rFonts w:ascii="Times New Roman" w:hAnsi="Times New Roman" w:cs="Times New Roman"/>
                <w:b/>
                <w:bCs/>
                <w:color w:val="auto"/>
                <w:szCs w:val="21"/>
              </w:rPr>
              <w:t>23</w:t>
            </w:r>
          </w:p>
        </w:tc>
        <w:tc>
          <w:tcPr>
            <w:tcW w:w="2835" w:type="dxa"/>
            <w:vAlign w:val="center"/>
          </w:tcPr>
          <w:p w14:paraId="63A8649C">
            <w:pPr>
              <w:widowControl/>
              <w:spacing w:before="100" w:beforeAutospacing="1" w:after="100" w:afterAutospacing="1"/>
              <w:jc w:val="center"/>
              <w:outlineLvl w:val="1"/>
              <w:rPr>
                <w:rFonts w:ascii="Times New Roman" w:hAnsi="Times New Roman" w:cs="Times New Roman"/>
                <w:b/>
                <w:bCs/>
                <w:color w:val="auto"/>
                <w:szCs w:val="21"/>
              </w:rPr>
            </w:pPr>
            <w:r>
              <w:rPr>
                <w:rFonts w:ascii="Times New Roman" w:hAnsi="Times New Roman" w:cs="Times New Roman"/>
                <w:b/>
                <w:bCs/>
                <w:color w:val="auto"/>
                <w:szCs w:val="21"/>
              </w:rPr>
              <w:t>全国水利创新设计大赛</w:t>
            </w:r>
          </w:p>
        </w:tc>
        <w:tc>
          <w:tcPr>
            <w:tcW w:w="2552" w:type="dxa"/>
            <w:vAlign w:val="center"/>
          </w:tcPr>
          <w:p w14:paraId="4E28AECE">
            <w:pPr>
              <w:jc w:val="center"/>
              <w:rPr>
                <w:rFonts w:ascii="Times New Roman" w:hAnsi="Times New Roman" w:cs="Times New Roman"/>
                <w:bCs/>
                <w:color w:val="auto"/>
                <w:szCs w:val="21"/>
              </w:rPr>
            </w:pPr>
            <w:r>
              <w:rPr>
                <w:rFonts w:hint="eastAsia" w:ascii="Times New Roman" w:hAnsi="Times New Roman" w:cs="Times New Roman"/>
                <w:bCs/>
                <w:color w:val="auto"/>
                <w:szCs w:val="21"/>
              </w:rPr>
              <w:t>教育部中国水利教育协会</w:t>
            </w:r>
          </w:p>
        </w:tc>
        <w:tc>
          <w:tcPr>
            <w:tcW w:w="2409" w:type="dxa"/>
            <w:vAlign w:val="center"/>
          </w:tcPr>
          <w:p w14:paraId="09C6F187">
            <w:pPr>
              <w:jc w:val="center"/>
              <w:rPr>
                <w:rFonts w:ascii="Times New Roman" w:hAnsi="Times New Roman" w:cs="Times New Roman"/>
                <w:color w:val="auto"/>
                <w:szCs w:val="21"/>
              </w:rPr>
            </w:pPr>
            <w:r>
              <w:rPr>
                <w:rFonts w:hint="eastAsia" w:ascii="Times New Roman" w:hAnsi="Times New Roman" w:cs="Times New Roman"/>
                <w:color w:val="auto"/>
                <w:szCs w:val="21"/>
              </w:rPr>
              <w:t>每两年一次</w:t>
            </w:r>
          </w:p>
        </w:tc>
      </w:tr>
      <w:tr w14:paraId="6322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3C2638D">
            <w:pPr>
              <w:jc w:val="center"/>
              <w:rPr>
                <w:rFonts w:ascii="Times New Roman" w:hAnsi="Times New Roman" w:cs="Times New Roman"/>
                <w:b/>
                <w:bCs/>
                <w:color w:val="auto"/>
                <w:szCs w:val="21"/>
              </w:rPr>
            </w:pPr>
            <w:r>
              <w:rPr>
                <w:rFonts w:ascii="Times New Roman" w:hAnsi="Times New Roman" w:cs="Times New Roman"/>
                <w:b/>
                <w:bCs/>
                <w:color w:val="auto"/>
                <w:szCs w:val="21"/>
              </w:rPr>
              <w:t>24</w:t>
            </w:r>
          </w:p>
        </w:tc>
        <w:tc>
          <w:tcPr>
            <w:tcW w:w="2835" w:type="dxa"/>
            <w:vAlign w:val="center"/>
          </w:tcPr>
          <w:p w14:paraId="4371F4AF">
            <w:pPr>
              <w:widowControl/>
              <w:spacing w:before="100" w:beforeAutospacing="1" w:after="100" w:afterAutospacing="1"/>
              <w:jc w:val="center"/>
              <w:outlineLvl w:val="1"/>
              <w:rPr>
                <w:rFonts w:ascii="Times New Roman" w:hAnsi="Times New Roman" w:cs="Times New Roman"/>
                <w:b/>
                <w:bCs/>
                <w:color w:val="auto"/>
                <w:szCs w:val="21"/>
              </w:rPr>
            </w:pPr>
            <w:r>
              <w:rPr>
                <w:rFonts w:hint="eastAsia" w:ascii="Times New Roman" w:hAnsi="Times New Roman" w:cs="Times New Roman"/>
                <w:b/>
                <w:bCs/>
                <w:color w:val="auto"/>
                <w:szCs w:val="21"/>
              </w:rPr>
              <w:t>国际大学生混凝土龙舟赛</w:t>
            </w:r>
          </w:p>
        </w:tc>
        <w:tc>
          <w:tcPr>
            <w:tcW w:w="2552" w:type="dxa"/>
            <w:vAlign w:val="center"/>
          </w:tcPr>
          <w:p w14:paraId="05C4BCF6">
            <w:pPr>
              <w:jc w:val="center"/>
              <w:rPr>
                <w:rFonts w:ascii="Times New Roman" w:hAnsi="Times New Roman" w:cs="Times New Roman"/>
                <w:bCs/>
                <w:color w:val="auto"/>
                <w:szCs w:val="21"/>
              </w:rPr>
            </w:pPr>
            <w:r>
              <w:rPr>
                <w:rFonts w:hint="eastAsia" w:ascii="Times New Roman" w:hAnsi="Times New Roman" w:cs="Times New Roman"/>
                <w:bCs/>
                <w:color w:val="auto"/>
                <w:szCs w:val="21"/>
              </w:rPr>
              <w:t>美国混凝土学会；中国建筑学会</w:t>
            </w:r>
          </w:p>
        </w:tc>
        <w:tc>
          <w:tcPr>
            <w:tcW w:w="2409" w:type="dxa"/>
            <w:vAlign w:val="center"/>
          </w:tcPr>
          <w:p w14:paraId="6791E59C">
            <w:pPr>
              <w:jc w:val="center"/>
              <w:rPr>
                <w:rFonts w:ascii="Times New Roman" w:hAnsi="Times New Roman" w:cs="Times New Roman"/>
                <w:color w:val="auto"/>
                <w:szCs w:val="21"/>
              </w:rPr>
            </w:pPr>
            <w:r>
              <w:rPr>
                <w:rFonts w:hint="eastAsia" w:ascii="Times New Roman" w:hAnsi="Times New Roman" w:cs="Times New Roman"/>
                <w:color w:val="auto"/>
                <w:szCs w:val="21"/>
              </w:rPr>
              <w:t>每年一次</w:t>
            </w:r>
          </w:p>
        </w:tc>
      </w:tr>
      <w:tr w14:paraId="6934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ABCCFAD">
            <w:pPr>
              <w:jc w:val="center"/>
              <w:rPr>
                <w:rFonts w:ascii="Times New Roman" w:hAnsi="Times New Roman" w:cs="Times New Roman"/>
                <w:b/>
                <w:bCs/>
                <w:color w:val="auto"/>
                <w:szCs w:val="21"/>
              </w:rPr>
            </w:pPr>
            <w:r>
              <w:rPr>
                <w:rFonts w:hint="eastAsia" w:ascii="Times New Roman" w:hAnsi="Times New Roman" w:cs="Times New Roman"/>
                <w:b/>
                <w:bCs/>
                <w:color w:val="auto"/>
                <w:szCs w:val="21"/>
              </w:rPr>
              <w:t>2</w:t>
            </w:r>
            <w:r>
              <w:rPr>
                <w:rFonts w:ascii="Times New Roman" w:hAnsi="Times New Roman" w:cs="Times New Roman"/>
                <w:b/>
                <w:bCs/>
                <w:color w:val="auto"/>
                <w:szCs w:val="21"/>
              </w:rPr>
              <w:t>5</w:t>
            </w:r>
          </w:p>
        </w:tc>
        <w:tc>
          <w:tcPr>
            <w:tcW w:w="2835" w:type="dxa"/>
            <w:vAlign w:val="center"/>
          </w:tcPr>
          <w:p w14:paraId="7877F38A">
            <w:pPr>
              <w:widowControl/>
              <w:spacing w:before="100" w:beforeAutospacing="1" w:after="100" w:afterAutospacing="1"/>
              <w:jc w:val="center"/>
              <w:outlineLvl w:val="1"/>
              <w:rPr>
                <w:rFonts w:ascii="Times New Roman" w:hAnsi="Times New Roman" w:cs="Times New Roman"/>
                <w:b/>
                <w:bCs/>
                <w:color w:val="auto"/>
                <w:szCs w:val="21"/>
              </w:rPr>
            </w:pPr>
            <w:r>
              <w:rPr>
                <w:rFonts w:hint="eastAsia" w:ascii="Times New Roman" w:hAnsi="Times New Roman" w:cs="Times New Roman"/>
                <w:b/>
                <w:bCs/>
                <w:color w:val="auto"/>
                <w:szCs w:val="21"/>
              </w:rPr>
              <w:t>全国大学生结构设计信息技术大赛</w:t>
            </w:r>
          </w:p>
        </w:tc>
        <w:tc>
          <w:tcPr>
            <w:tcW w:w="2552" w:type="dxa"/>
            <w:vAlign w:val="center"/>
          </w:tcPr>
          <w:p w14:paraId="2CC6F137">
            <w:pPr>
              <w:jc w:val="center"/>
              <w:rPr>
                <w:rFonts w:ascii="Times New Roman" w:hAnsi="Times New Roman" w:cs="Times New Roman"/>
                <w:bCs/>
                <w:color w:val="auto"/>
                <w:szCs w:val="21"/>
              </w:rPr>
            </w:pPr>
            <w:r>
              <w:rPr>
                <w:rFonts w:hint="eastAsia" w:ascii="Times New Roman" w:hAnsi="Times New Roman" w:cs="Times New Roman"/>
                <w:bCs/>
                <w:color w:val="auto"/>
                <w:szCs w:val="21"/>
              </w:rPr>
              <w:t>中国土木工程学会教育工作委员会</w:t>
            </w:r>
          </w:p>
        </w:tc>
        <w:tc>
          <w:tcPr>
            <w:tcW w:w="2409" w:type="dxa"/>
            <w:vAlign w:val="center"/>
          </w:tcPr>
          <w:p w14:paraId="67209D06">
            <w:pPr>
              <w:jc w:val="center"/>
              <w:rPr>
                <w:rFonts w:ascii="Times New Roman" w:hAnsi="Times New Roman" w:cs="Times New Roman"/>
                <w:color w:val="auto"/>
                <w:szCs w:val="21"/>
              </w:rPr>
            </w:pPr>
            <w:r>
              <w:rPr>
                <w:rFonts w:hint="eastAsia" w:ascii="Times New Roman" w:hAnsi="Times New Roman" w:cs="Times New Roman"/>
                <w:color w:val="auto"/>
                <w:szCs w:val="21"/>
              </w:rPr>
              <w:t>每年一次</w:t>
            </w:r>
          </w:p>
        </w:tc>
      </w:tr>
      <w:tr w14:paraId="3C99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E37FB21">
            <w:pPr>
              <w:jc w:val="center"/>
              <w:rPr>
                <w:rFonts w:ascii="Times New Roman" w:hAnsi="Times New Roman" w:cs="Times New Roman"/>
                <w:b/>
                <w:bCs/>
                <w:color w:val="auto"/>
                <w:szCs w:val="21"/>
              </w:rPr>
            </w:pPr>
            <w:r>
              <w:rPr>
                <w:rFonts w:hint="eastAsia" w:ascii="Times New Roman" w:hAnsi="Times New Roman" w:cs="Times New Roman"/>
                <w:b/>
                <w:bCs/>
                <w:color w:val="auto"/>
                <w:szCs w:val="21"/>
              </w:rPr>
              <w:t>2</w:t>
            </w:r>
            <w:r>
              <w:rPr>
                <w:rFonts w:ascii="Times New Roman" w:hAnsi="Times New Roman" w:cs="Times New Roman"/>
                <w:b/>
                <w:bCs/>
                <w:color w:val="auto"/>
                <w:szCs w:val="21"/>
              </w:rPr>
              <w:t>6</w:t>
            </w:r>
          </w:p>
        </w:tc>
        <w:tc>
          <w:tcPr>
            <w:tcW w:w="2835" w:type="dxa"/>
            <w:vAlign w:val="center"/>
          </w:tcPr>
          <w:p w14:paraId="34A9EE9D">
            <w:pPr>
              <w:widowControl/>
              <w:spacing w:before="100" w:beforeAutospacing="1" w:after="100" w:afterAutospacing="1"/>
              <w:jc w:val="center"/>
              <w:outlineLvl w:val="1"/>
              <w:rPr>
                <w:rFonts w:ascii="Times New Roman" w:hAnsi="Times New Roman" w:cs="Times New Roman"/>
                <w:b/>
                <w:bCs/>
                <w:color w:val="auto"/>
                <w:szCs w:val="21"/>
              </w:rPr>
            </w:pPr>
            <w:r>
              <w:rPr>
                <w:rFonts w:hint="eastAsia" w:ascii="Times New Roman" w:hAnsi="Times New Roman" w:cs="Times New Roman"/>
                <w:b/>
                <w:bCs/>
                <w:color w:val="auto"/>
                <w:szCs w:val="21"/>
              </w:rPr>
              <w:t>全国大学生岩土工程竞赛</w:t>
            </w:r>
          </w:p>
        </w:tc>
        <w:tc>
          <w:tcPr>
            <w:tcW w:w="2552" w:type="dxa"/>
            <w:vAlign w:val="center"/>
          </w:tcPr>
          <w:p w14:paraId="7633DDC4">
            <w:pPr>
              <w:jc w:val="center"/>
              <w:rPr>
                <w:rFonts w:ascii="Times New Roman" w:hAnsi="Times New Roman" w:cs="Times New Roman"/>
                <w:bCs/>
                <w:color w:val="auto"/>
                <w:szCs w:val="21"/>
              </w:rPr>
            </w:pPr>
            <w:r>
              <w:rPr>
                <w:rFonts w:hint="eastAsia" w:ascii="Times New Roman" w:hAnsi="Times New Roman" w:cs="Times New Roman"/>
                <w:bCs/>
                <w:color w:val="auto"/>
                <w:szCs w:val="21"/>
              </w:rPr>
              <w:t>教育部高等学校土木工程专业教学指导委员会；中国土木工程学会</w:t>
            </w:r>
          </w:p>
        </w:tc>
        <w:tc>
          <w:tcPr>
            <w:tcW w:w="2409" w:type="dxa"/>
            <w:vAlign w:val="center"/>
          </w:tcPr>
          <w:p w14:paraId="3ECF9526">
            <w:pPr>
              <w:jc w:val="center"/>
              <w:rPr>
                <w:rFonts w:ascii="Times New Roman" w:hAnsi="Times New Roman" w:cs="Times New Roman"/>
                <w:color w:val="auto"/>
                <w:szCs w:val="21"/>
              </w:rPr>
            </w:pPr>
            <w:r>
              <w:rPr>
                <w:rFonts w:hint="eastAsia" w:ascii="Times New Roman" w:hAnsi="Times New Roman" w:cs="Times New Roman"/>
                <w:color w:val="auto"/>
                <w:szCs w:val="21"/>
              </w:rPr>
              <w:t>每两年一次</w:t>
            </w:r>
          </w:p>
        </w:tc>
      </w:tr>
      <w:tr w14:paraId="5435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F22005E">
            <w:pPr>
              <w:jc w:val="center"/>
              <w:rPr>
                <w:rFonts w:ascii="Times New Roman" w:hAnsi="Times New Roman" w:cs="Times New Roman"/>
                <w:b/>
                <w:bCs/>
                <w:color w:val="auto"/>
                <w:szCs w:val="21"/>
              </w:rPr>
            </w:pPr>
            <w:r>
              <w:rPr>
                <w:rFonts w:hint="eastAsia" w:ascii="Times New Roman" w:hAnsi="Times New Roman" w:cs="Times New Roman"/>
                <w:b/>
                <w:bCs/>
                <w:color w:val="auto"/>
                <w:szCs w:val="21"/>
              </w:rPr>
              <w:t>2</w:t>
            </w:r>
            <w:r>
              <w:rPr>
                <w:rFonts w:ascii="Times New Roman" w:hAnsi="Times New Roman" w:cs="Times New Roman"/>
                <w:b/>
                <w:bCs/>
                <w:color w:val="auto"/>
                <w:szCs w:val="21"/>
              </w:rPr>
              <w:t>7</w:t>
            </w:r>
          </w:p>
        </w:tc>
        <w:tc>
          <w:tcPr>
            <w:tcW w:w="2835" w:type="dxa"/>
            <w:vAlign w:val="center"/>
          </w:tcPr>
          <w:p w14:paraId="0675154E">
            <w:pPr>
              <w:widowControl/>
              <w:spacing w:before="100" w:beforeAutospacing="1" w:after="100" w:afterAutospacing="1"/>
              <w:jc w:val="center"/>
              <w:outlineLvl w:val="1"/>
              <w:rPr>
                <w:rFonts w:ascii="Times New Roman" w:hAnsi="Times New Roman" w:cs="Times New Roman"/>
                <w:b/>
                <w:bCs/>
                <w:color w:val="auto"/>
                <w:szCs w:val="21"/>
              </w:rPr>
            </w:pPr>
            <w:r>
              <w:rPr>
                <w:rFonts w:hint="eastAsia" w:ascii="Times New Roman" w:hAnsi="Times New Roman" w:cs="Times New Roman"/>
                <w:b/>
                <w:bCs/>
                <w:color w:val="auto"/>
                <w:szCs w:val="21"/>
              </w:rPr>
              <w:t>全国土木工程专业本科生优秀创新实践成果奖</w:t>
            </w:r>
          </w:p>
        </w:tc>
        <w:tc>
          <w:tcPr>
            <w:tcW w:w="2552" w:type="dxa"/>
            <w:vAlign w:val="center"/>
          </w:tcPr>
          <w:p w14:paraId="54BF0E40">
            <w:pPr>
              <w:jc w:val="center"/>
              <w:rPr>
                <w:rFonts w:ascii="Times New Roman" w:hAnsi="Times New Roman" w:cs="Times New Roman"/>
                <w:bCs/>
                <w:color w:val="auto"/>
                <w:szCs w:val="21"/>
              </w:rPr>
            </w:pPr>
            <w:r>
              <w:rPr>
                <w:rFonts w:hint="eastAsia" w:ascii="Times New Roman" w:hAnsi="Times New Roman" w:cs="Times New Roman"/>
                <w:bCs/>
                <w:color w:val="auto"/>
                <w:szCs w:val="21"/>
              </w:rPr>
              <w:t>教育部高等学校土木工程专业教学指导委员会</w:t>
            </w:r>
          </w:p>
        </w:tc>
        <w:tc>
          <w:tcPr>
            <w:tcW w:w="2409" w:type="dxa"/>
            <w:vAlign w:val="center"/>
          </w:tcPr>
          <w:p w14:paraId="4092A0F1">
            <w:pPr>
              <w:jc w:val="center"/>
              <w:rPr>
                <w:rFonts w:ascii="Times New Roman" w:hAnsi="Times New Roman" w:cs="Times New Roman"/>
                <w:color w:val="auto"/>
                <w:szCs w:val="21"/>
              </w:rPr>
            </w:pPr>
            <w:r>
              <w:rPr>
                <w:rFonts w:hint="eastAsia" w:ascii="Times New Roman" w:hAnsi="Times New Roman" w:cs="Times New Roman"/>
                <w:color w:val="auto"/>
                <w:szCs w:val="21"/>
              </w:rPr>
              <w:t>每两年一次</w:t>
            </w:r>
          </w:p>
        </w:tc>
      </w:tr>
      <w:tr w14:paraId="69CE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0AA4D37">
            <w:pPr>
              <w:jc w:val="center"/>
              <w:rPr>
                <w:rFonts w:ascii="Times New Roman" w:hAnsi="Times New Roman" w:cs="Times New Roman"/>
                <w:b/>
                <w:bCs/>
                <w:color w:val="auto"/>
                <w:szCs w:val="21"/>
              </w:rPr>
            </w:pPr>
            <w:r>
              <w:rPr>
                <w:rFonts w:hint="eastAsia" w:ascii="Times New Roman" w:hAnsi="Times New Roman" w:cs="Times New Roman"/>
                <w:b/>
                <w:bCs/>
                <w:color w:val="auto"/>
                <w:szCs w:val="21"/>
              </w:rPr>
              <w:t>2</w:t>
            </w:r>
            <w:r>
              <w:rPr>
                <w:rFonts w:ascii="Times New Roman" w:hAnsi="Times New Roman" w:cs="Times New Roman"/>
                <w:b/>
                <w:bCs/>
                <w:color w:val="auto"/>
                <w:szCs w:val="21"/>
              </w:rPr>
              <w:t>8</w:t>
            </w:r>
          </w:p>
        </w:tc>
        <w:tc>
          <w:tcPr>
            <w:tcW w:w="2835" w:type="dxa"/>
            <w:vAlign w:val="center"/>
          </w:tcPr>
          <w:p w14:paraId="7060ED00">
            <w:pPr>
              <w:widowControl/>
              <w:spacing w:before="100" w:beforeAutospacing="1" w:after="100" w:afterAutospacing="1"/>
              <w:jc w:val="center"/>
              <w:outlineLvl w:val="1"/>
              <w:rPr>
                <w:rFonts w:ascii="Times New Roman" w:hAnsi="Times New Roman" w:cs="Times New Roman"/>
                <w:b/>
                <w:bCs/>
                <w:color w:val="auto"/>
                <w:szCs w:val="21"/>
              </w:rPr>
            </w:pPr>
            <w:r>
              <w:rPr>
                <w:rFonts w:hint="eastAsia" w:ascii="Times New Roman" w:hAnsi="Times New Roman" w:cs="Times New Roman"/>
                <w:b/>
                <w:bCs/>
                <w:color w:val="auto"/>
                <w:szCs w:val="21"/>
              </w:rPr>
              <w:t>全国大学生“茅以升公益桥——小桥工程”设计大赛</w:t>
            </w:r>
          </w:p>
        </w:tc>
        <w:tc>
          <w:tcPr>
            <w:tcW w:w="2552" w:type="dxa"/>
            <w:vAlign w:val="center"/>
          </w:tcPr>
          <w:p w14:paraId="517117C7">
            <w:pPr>
              <w:jc w:val="center"/>
              <w:rPr>
                <w:rFonts w:ascii="Times New Roman" w:hAnsi="Times New Roman" w:cs="Times New Roman"/>
                <w:bCs/>
                <w:color w:val="auto"/>
                <w:szCs w:val="21"/>
              </w:rPr>
            </w:pPr>
            <w:r>
              <w:rPr>
                <w:rFonts w:hint="eastAsia" w:ascii="Times New Roman" w:hAnsi="Times New Roman" w:cs="Times New Roman"/>
                <w:bCs/>
                <w:color w:val="auto"/>
                <w:szCs w:val="21"/>
              </w:rPr>
              <w:t>教育部高等学校土木工程专业教学指导委员会</w:t>
            </w:r>
          </w:p>
        </w:tc>
        <w:tc>
          <w:tcPr>
            <w:tcW w:w="2409" w:type="dxa"/>
            <w:vAlign w:val="center"/>
          </w:tcPr>
          <w:p w14:paraId="7AAA1404">
            <w:pPr>
              <w:jc w:val="center"/>
              <w:rPr>
                <w:rFonts w:ascii="Times New Roman" w:hAnsi="Times New Roman" w:cs="Times New Roman"/>
                <w:color w:val="auto"/>
                <w:szCs w:val="21"/>
              </w:rPr>
            </w:pPr>
            <w:r>
              <w:rPr>
                <w:rFonts w:hint="eastAsia" w:ascii="Times New Roman" w:hAnsi="Times New Roman" w:cs="Times New Roman"/>
                <w:color w:val="auto"/>
                <w:szCs w:val="21"/>
              </w:rPr>
              <w:t>不定期</w:t>
            </w:r>
          </w:p>
        </w:tc>
      </w:tr>
      <w:tr w14:paraId="5816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04565EA">
            <w:pPr>
              <w:jc w:val="center"/>
              <w:rPr>
                <w:rFonts w:ascii="Times New Roman" w:hAnsi="Times New Roman" w:cs="Times New Roman"/>
                <w:b/>
                <w:bCs/>
                <w:color w:val="auto"/>
                <w:szCs w:val="21"/>
              </w:rPr>
            </w:pPr>
            <w:r>
              <w:rPr>
                <w:rFonts w:hint="eastAsia" w:ascii="Times New Roman" w:hAnsi="Times New Roman" w:cs="Times New Roman"/>
                <w:b/>
                <w:bCs/>
                <w:color w:val="auto"/>
                <w:szCs w:val="21"/>
              </w:rPr>
              <w:t>2</w:t>
            </w:r>
            <w:r>
              <w:rPr>
                <w:rFonts w:ascii="Times New Roman" w:hAnsi="Times New Roman" w:cs="Times New Roman"/>
                <w:b/>
                <w:bCs/>
                <w:color w:val="auto"/>
                <w:szCs w:val="21"/>
              </w:rPr>
              <w:t>9</w:t>
            </w:r>
          </w:p>
        </w:tc>
        <w:tc>
          <w:tcPr>
            <w:tcW w:w="2835" w:type="dxa"/>
            <w:vAlign w:val="center"/>
          </w:tcPr>
          <w:p w14:paraId="416391E2">
            <w:pPr>
              <w:widowControl/>
              <w:spacing w:before="100" w:beforeAutospacing="1" w:after="100" w:afterAutospacing="1"/>
              <w:jc w:val="center"/>
              <w:outlineLvl w:val="1"/>
              <w:rPr>
                <w:rFonts w:ascii="Times New Roman" w:hAnsi="Times New Roman" w:cs="Times New Roman"/>
                <w:b/>
                <w:bCs/>
                <w:color w:val="auto"/>
                <w:szCs w:val="21"/>
              </w:rPr>
            </w:pPr>
            <w:r>
              <w:rPr>
                <w:rFonts w:hint="eastAsia" w:ascii="Times New Roman" w:hAnsi="Times New Roman" w:cs="Times New Roman"/>
                <w:b/>
                <w:bCs/>
                <w:color w:val="auto"/>
                <w:szCs w:val="21"/>
              </w:rPr>
              <w:t>大学生水利水运装配式技术设计大赛</w:t>
            </w:r>
          </w:p>
        </w:tc>
        <w:tc>
          <w:tcPr>
            <w:tcW w:w="2552" w:type="dxa"/>
            <w:vAlign w:val="center"/>
          </w:tcPr>
          <w:p w14:paraId="23E056B5">
            <w:pPr>
              <w:jc w:val="center"/>
              <w:rPr>
                <w:rFonts w:ascii="Times New Roman" w:hAnsi="Times New Roman" w:cs="Times New Roman"/>
                <w:bCs/>
                <w:color w:val="auto"/>
                <w:szCs w:val="21"/>
              </w:rPr>
            </w:pPr>
            <w:r>
              <w:rPr>
                <w:rFonts w:hint="eastAsia" w:ascii="Times New Roman" w:hAnsi="Times New Roman" w:cs="Times New Roman"/>
                <w:bCs/>
                <w:color w:val="auto"/>
                <w:szCs w:val="21"/>
              </w:rPr>
              <w:t>中国水利学会</w:t>
            </w:r>
          </w:p>
        </w:tc>
        <w:tc>
          <w:tcPr>
            <w:tcW w:w="2409" w:type="dxa"/>
            <w:vAlign w:val="center"/>
          </w:tcPr>
          <w:p w14:paraId="706B1BCB">
            <w:pPr>
              <w:jc w:val="center"/>
              <w:rPr>
                <w:rFonts w:ascii="Times New Roman" w:hAnsi="Times New Roman" w:cs="Times New Roman"/>
                <w:color w:val="auto"/>
                <w:szCs w:val="21"/>
              </w:rPr>
            </w:pPr>
            <w:r>
              <w:rPr>
                <w:rFonts w:hint="eastAsia" w:ascii="Times New Roman" w:hAnsi="Times New Roman" w:cs="Times New Roman"/>
                <w:color w:val="auto"/>
                <w:szCs w:val="21"/>
              </w:rPr>
              <w:t>每两年一次</w:t>
            </w:r>
          </w:p>
        </w:tc>
      </w:tr>
      <w:tr w14:paraId="6D00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46AF5DB">
            <w:pPr>
              <w:jc w:val="center"/>
              <w:rPr>
                <w:rFonts w:ascii="Times New Roman" w:hAnsi="Times New Roman" w:cs="Times New Roman"/>
                <w:b/>
                <w:bCs/>
                <w:color w:val="auto"/>
                <w:szCs w:val="21"/>
              </w:rPr>
            </w:pPr>
            <w:r>
              <w:rPr>
                <w:rFonts w:hint="eastAsia" w:ascii="Times New Roman" w:hAnsi="Times New Roman" w:cs="Times New Roman"/>
                <w:b/>
                <w:bCs/>
                <w:color w:val="auto"/>
                <w:szCs w:val="21"/>
              </w:rPr>
              <w:t>3</w:t>
            </w:r>
            <w:r>
              <w:rPr>
                <w:rFonts w:ascii="Times New Roman" w:hAnsi="Times New Roman" w:cs="Times New Roman"/>
                <w:b/>
                <w:bCs/>
                <w:color w:val="auto"/>
                <w:szCs w:val="21"/>
              </w:rPr>
              <w:t>0</w:t>
            </w:r>
          </w:p>
        </w:tc>
        <w:tc>
          <w:tcPr>
            <w:tcW w:w="2835" w:type="dxa"/>
            <w:vAlign w:val="center"/>
          </w:tcPr>
          <w:p w14:paraId="7666B636">
            <w:pPr>
              <w:widowControl/>
              <w:spacing w:before="100" w:beforeAutospacing="1" w:after="100" w:afterAutospacing="1"/>
              <w:jc w:val="center"/>
              <w:outlineLvl w:val="1"/>
              <w:rPr>
                <w:rFonts w:ascii="Times New Roman" w:hAnsi="Times New Roman" w:cs="Times New Roman"/>
                <w:b/>
                <w:bCs/>
                <w:color w:val="auto"/>
                <w:szCs w:val="21"/>
              </w:rPr>
            </w:pPr>
            <w:r>
              <w:rPr>
                <w:rFonts w:hint="eastAsia" w:ascii="Times New Roman" w:hAnsi="Times New Roman" w:cs="Times New Roman"/>
                <w:b/>
                <w:bCs/>
                <w:color w:val="auto"/>
                <w:szCs w:val="21"/>
              </w:rPr>
              <w:t>全国水利行业BIM应用大赛</w:t>
            </w:r>
          </w:p>
        </w:tc>
        <w:tc>
          <w:tcPr>
            <w:tcW w:w="2552" w:type="dxa"/>
            <w:vAlign w:val="center"/>
          </w:tcPr>
          <w:p w14:paraId="5D6925C9">
            <w:pPr>
              <w:jc w:val="center"/>
              <w:rPr>
                <w:rFonts w:ascii="Times New Roman" w:hAnsi="Times New Roman" w:cs="Times New Roman"/>
                <w:bCs/>
                <w:color w:val="auto"/>
                <w:szCs w:val="21"/>
              </w:rPr>
            </w:pPr>
            <w:r>
              <w:rPr>
                <w:rFonts w:hint="eastAsia" w:ascii="Times New Roman" w:hAnsi="Times New Roman" w:cs="Times New Roman"/>
                <w:bCs/>
                <w:color w:val="auto"/>
                <w:szCs w:val="21"/>
              </w:rPr>
              <w:t>中国水利水电勘测设计协会</w:t>
            </w:r>
          </w:p>
        </w:tc>
        <w:tc>
          <w:tcPr>
            <w:tcW w:w="2409" w:type="dxa"/>
            <w:vAlign w:val="center"/>
          </w:tcPr>
          <w:p w14:paraId="25DB66B7">
            <w:pPr>
              <w:jc w:val="center"/>
              <w:rPr>
                <w:rFonts w:ascii="Times New Roman" w:hAnsi="Times New Roman" w:cs="Times New Roman"/>
                <w:color w:val="auto"/>
                <w:szCs w:val="21"/>
              </w:rPr>
            </w:pPr>
            <w:r>
              <w:rPr>
                <w:rFonts w:hint="eastAsia" w:ascii="Times New Roman" w:hAnsi="Times New Roman" w:cs="Times New Roman"/>
                <w:color w:val="auto"/>
                <w:szCs w:val="21"/>
              </w:rPr>
              <w:t>每两年一次</w:t>
            </w:r>
          </w:p>
        </w:tc>
      </w:tr>
      <w:tr w14:paraId="4573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BD8B733">
            <w:pPr>
              <w:jc w:val="center"/>
              <w:rPr>
                <w:rFonts w:ascii="Times New Roman" w:hAnsi="Times New Roman" w:cs="Times New Roman"/>
                <w:b/>
                <w:bCs/>
                <w:color w:val="auto"/>
                <w:szCs w:val="21"/>
              </w:rPr>
            </w:pPr>
            <w:r>
              <w:rPr>
                <w:rFonts w:hint="eastAsia" w:ascii="Times New Roman" w:hAnsi="Times New Roman" w:cs="Times New Roman"/>
                <w:b/>
                <w:bCs/>
                <w:color w:val="auto"/>
                <w:szCs w:val="21"/>
              </w:rPr>
              <w:t>3</w:t>
            </w:r>
            <w:r>
              <w:rPr>
                <w:rFonts w:ascii="Times New Roman" w:hAnsi="Times New Roman" w:cs="Times New Roman"/>
                <w:b/>
                <w:bCs/>
                <w:color w:val="auto"/>
                <w:szCs w:val="21"/>
              </w:rPr>
              <w:t>1</w:t>
            </w:r>
          </w:p>
        </w:tc>
        <w:tc>
          <w:tcPr>
            <w:tcW w:w="2835" w:type="dxa"/>
            <w:vAlign w:val="center"/>
          </w:tcPr>
          <w:p w14:paraId="03F90476">
            <w:pPr>
              <w:widowControl/>
              <w:spacing w:before="100" w:beforeAutospacing="1" w:after="100" w:afterAutospacing="1"/>
              <w:jc w:val="center"/>
              <w:outlineLvl w:val="1"/>
              <w:rPr>
                <w:rFonts w:ascii="Times New Roman" w:hAnsi="Times New Roman" w:cs="Times New Roman"/>
                <w:b/>
                <w:bCs/>
                <w:color w:val="auto"/>
                <w:szCs w:val="21"/>
              </w:rPr>
            </w:pPr>
            <w:r>
              <w:rPr>
                <w:rFonts w:hint="eastAsia" w:ascii="Times New Roman" w:hAnsi="Times New Roman" w:cs="Times New Roman"/>
                <w:b/>
                <w:bCs/>
                <w:color w:val="auto"/>
                <w:szCs w:val="21"/>
              </w:rPr>
              <w:t>全国大学生混凝土材料设计大赛</w:t>
            </w:r>
          </w:p>
        </w:tc>
        <w:tc>
          <w:tcPr>
            <w:tcW w:w="2552" w:type="dxa"/>
            <w:vAlign w:val="center"/>
          </w:tcPr>
          <w:p w14:paraId="032CC9AF">
            <w:pPr>
              <w:jc w:val="center"/>
              <w:rPr>
                <w:rFonts w:ascii="Times New Roman" w:hAnsi="Times New Roman" w:cs="Times New Roman"/>
                <w:bCs/>
                <w:color w:val="auto"/>
                <w:szCs w:val="21"/>
              </w:rPr>
            </w:pPr>
            <w:r>
              <w:rPr>
                <w:rFonts w:hint="eastAsia" w:ascii="Times New Roman" w:hAnsi="Times New Roman" w:cs="Times New Roman"/>
                <w:bCs/>
                <w:color w:val="auto"/>
                <w:szCs w:val="21"/>
              </w:rPr>
              <w:t>教育部无机非金属材料专业教学指导委员会</w:t>
            </w:r>
          </w:p>
        </w:tc>
        <w:tc>
          <w:tcPr>
            <w:tcW w:w="2409" w:type="dxa"/>
            <w:vAlign w:val="center"/>
          </w:tcPr>
          <w:p w14:paraId="6841F57F">
            <w:pPr>
              <w:jc w:val="center"/>
              <w:rPr>
                <w:rFonts w:ascii="Times New Roman" w:hAnsi="Times New Roman" w:cs="Times New Roman"/>
                <w:color w:val="auto"/>
                <w:szCs w:val="21"/>
              </w:rPr>
            </w:pPr>
            <w:r>
              <w:rPr>
                <w:rFonts w:hint="eastAsia" w:ascii="Times New Roman" w:hAnsi="Times New Roman" w:cs="Times New Roman"/>
                <w:color w:val="auto"/>
                <w:szCs w:val="21"/>
              </w:rPr>
              <w:t>每两年一次</w:t>
            </w:r>
          </w:p>
        </w:tc>
      </w:tr>
      <w:tr w14:paraId="1C4C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AA9500F">
            <w:pPr>
              <w:jc w:val="center"/>
              <w:rPr>
                <w:rFonts w:ascii="Times New Roman" w:hAnsi="Times New Roman" w:cs="Times New Roman"/>
                <w:b/>
                <w:bCs/>
                <w:color w:val="auto"/>
                <w:szCs w:val="21"/>
              </w:rPr>
            </w:pPr>
            <w:r>
              <w:rPr>
                <w:rFonts w:hint="eastAsia" w:ascii="Times New Roman" w:hAnsi="Times New Roman" w:cs="Times New Roman"/>
                <w:b/>
                <w:bCs/>
                <w:color w:val="auto"/>
                <w:szCs w:val="21"/>
              </w:rPr>
              <w:t>32</w:t>
            </w:r>
          </w:p>
        </w:tc>
        <w:tc>
          <w:tcPr>
            <w:tcW w:w="2835" w:type="dxa"/>
            <w:vAlign w:val="center"/>
          </w:tcPr>
          <w:p w14:paraId="1C70FF7B">
            <w:pPr>
              <w:widowControl/>
              <w:spacing w:before="100" w:beforeAutospacing="1" w:after="100" w:afterAutospacing="1"/>
              <w:jc w:val="center"/>
              <w:outlineLvl w:val="1"/>
              <w:rPr>
                <w:rFonts w:ascii="Times New Roman" w:hAnsi="Times New Roman" w:cs="Times New Roman"/>
                <w:b/>
                <w:bCs/>
                <w:color w:val="auto"/>
                <w:szCs w:val="21"/>
              </w:rPr>
            </w:pPr>
            <w:r>
              <w:rPr>
                <w:rFonts w:hint="eastAsia" w:ascii="Times New Roman" w:hAnsi="Times New Roman" w:cs="Times New Roman"/>
                <w:b/>
                <w:bCs/>
                <w:color w:val="auto"/>
                <w:szCs w:val="21"/>
              </w:rPr>
              <w:t>全国海洋航行器设计与制作大赛</w:t>
            </w:r>
          </w:p>
        </w:tc>
        <w:tc>
          <w:tcPr>
            <w:tcW w:w="2552" w:type="dxa"/>
            <w:vAlign w:val="center"/>
          </w:tcPr>
          <w:p w14:paraId="3605D5B8">
            <w:pPr>
              <w:jc w:val="center"/>
              <w:rPr>
                <w:rFonts w:ascii="Times New Roman" w:hAnsi="Times New Roman" w:cs="Times New Roman"/>
                <w:bCs/>
                <w:color w:val="auto"/>
                <w:szCs w:val="21"/>
              </w:rPr>
            </w:pPr>
            <w:r>
              <w:rPr>
                <w:rFonts w:hint="eastAsia" w:ascii="Times New Roman" w:hAnsi="Times New Roman" w:cs="Times New Roman"/>
                <w:bCs/>
                <w:color w:val="auto"/>
                <w:szCs w:val="21"/>
              </w:rPr>
              <w:t>中国造船工程学会</w:t>
            </w:r>
          </w:p>
        </w:tc>
        <w:tc>
          <w:tcPr>
            <w:tcW w:w="2409" w:type="dxa"/>
            <w:vAlign w:val="center"/>
          </w:tcPr>
          <w:p w14:paraId="18E4CAFD">
            <w:pPr>
              <w:jc w:val="center"/>
              <w:rPr>
                <w:rFonts w:ascii="Times New Roman" w:hAnsi="Times New Roman" w:cs="Times New Roman"/>
                <w:color w:val="auto"/>
                <w:szCs w:val="21"/>
              </w:rPr>
            </w:pPr>
            <w:r>
              <w:rPr>
                <w:rFonts w:hint="eastAsia" w:ascii="Times New Roman" w:hAnsi="Times New Roman" w:cs="Times New Roman"/>
                <w:color w:val="auto"/>
                <w:szCs w:val="21"/>
              </w:rPr>
              <w:t>每年一次</w:t>
            </w:r>
          </w:p>
        </w:tc>
      </w:tr>
      <w:tr w14:paraId="0249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BFE5A37">
            <w:pPr>
              <w:jc w:val="center"/>
              <w:rPr>
                <w:rFonts w:ascii="Times New Roman" w:hAnsi="Times New Roman" w:cs="Times New Roman"/>
                <w:b/>
                <w:bCs/>
                <w:color w:val="auto"/>
                <w:szCs w:val="21"/>
              </w:rPr>
            </w:pPr>
            <w:r>
              <w:rPr>
                <w:rFonts w:hint="eastAsia" w:ascii="Times New Roman" w:hAnsi="Times New Roman" w:cs="Times New Roman"/>
                <w:b/>
                <w:bCs/>
                <w:color w:val="auto"/>
                <w:szCs w:val="21"/>
              </w:rPr>
              <w:t>3</w:t>
            </w:r>
            <w:r>
              <w:rPr>
                <w:rFonts w:ascii="Times New Roman" w:hAnsi="Times New Roman" w:cs="Times New Roman"/>
                <w:b/>
                <w:bCs/>
                <w:color w:val="auto"/>
                <w:szCs w:val="21"/>
              </w:rPr>
              <w:t>3</w:t>
            </w:r>
          </w:p>
        </w:tc>
        <w:tc>
          <w:tcPr>
            <w:tcW w:w="2835" w:type="dxa"/>
            <w:vAlign w:val="center"/>
          </w:tcPr>
          <w:p w14:paraId="57D7B0B8">
            <w:pPr>
              <w:widowControl/>
              <w:spacing w:before="100" w:beforeAutospacing="1" w:after="100" w:afterAutospacing="1"/>
              <w:jc w:val="center"/>
              <w:outlineLvl w:val="1"/>
              <w:rPr>
                <w:rFonts w:ascii="Times New Roman" w:hAnsi="Times New Roman" w:cs="Times New Roman"/>
                <w:b/>
                <w:bCs/>
                <w:color w:val="auto"/>
                <w:szCs w:val="21"/>
              </w:rPr>
            </w:pPr>
            <w:r>
              <w:rPr>
                <w:rFonts w:hint="eastAsia" w:ascii="Times New Roman" w:hAnsi="Times New Roman" w:cs="Times New Roman"/>
                <w:b/>
                <w:bCs/>
                <w:color w:val="auto"/>
                <w:szCs w:val="21"/>
              </w:rPr>
              <w:t>全国大学生加筋土挡墙设计大赛</w:t>
            </w:r>
          </w:p>
        </w:tc>
        <w:tc>
          <w:tcPr>
            <w:tcW w:w="2552" w:type="dxa"/>
            <w:vAlign w:val="center"/>
          </w:tcPr>
          <w:p w14:paraId="08A35A4A">
            <w:pPr>
              <w:jc w:val="center"/>
              <w:rPr>
                <w:rFonts w:ascii="Times New Roman" w:hAnsi="Times New Roman" w:cs="Times New Roman"/>
                <w:bCs/>
                <w:color w:val="auto"/>
                <w:szCs w:val="21"/>
              </w:rPr>
            </w:pPr>
            <w:r>
              <w:rPr>
                <w:rFonts w:hint="eastAsia" w:ascii="Times New Roman" w:hAnsi="Times New Roman" w:cs="Times New Roman"/>
                <w:bCs/>
                <w:color w:val="auto"/>
                <w:szCs w:val="21"/>
              </w:rPr>
              <w:t>中国土工合成材料协会</w:t>
            </w:r>
          </w:p>
        </w:tc>
        <w:tc>
          <w:tcPr>
            <w:tcW w:w="2409" w:type="dxa"/>
            <w:vAlign w:val="center"/>
          </w:tcPr>
          <w:p w14:paraId="7DCB7B62">
            <w:pPr>
              <w:jc w:val="center"/>
              <w:rPr>
                <w:rFonts w:ascii="Times New Roman" w:hAnsi="Times New Roman" w:cs="Times New Roman"/>
                <w:color w:val="auto"/>
                <w:szCs w:val="21"/>
              </w:rPr>
            </w:pPr>
            <w:r>
              <w:rPr>
                <w:rFonts w:hint="eastAsia" w:ascii="Times New Roman" w:hAnsi="Times New Roman" w:cs="Times New Roman"/>
                <w:color w:val="auto"/>
                <w:szCs w:val="21"/>
              </w:rPr>
              <w:t>两年一次</w:t>
            </w:r>
          </w:p>
        </w:tc>
      </w:tr>
    </w:tbl>
    <w:p w14:paraId="5079BC9B">
      <w:pPr>
        <w:rPr>
          <w:color w:val="auto"/>
        </w:rPr>
      </w:pPr>
    </w:p>
    <w:p w14:paraId="694556A2">
      <w:pPr>
        <w:rPr>
          <w:color w:val="auto"/>
        </w:rPr>
      </w:pPr>
    </w:p>
    <w:p w14:paraId="24196AE8">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211609"/>
    </w:sdtPr>
    <w:sdtEndPr>
      <w:rPr>
        <w:rFonts w:ascii="Times New Roman" w:hAnsi="Times New Roman" w:cs="Times New Roman"/>
        <w:sz w:val="21"/>
      </w:rPr>
    </w:sdtEndPr>
    <w:sdtContent>
      <w:p w14:paraId="330BBA77">
        <w:pPr>
          <w:pStyle w:val="6"/>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10</w:t>
        </w:r>
        <w:r>
          <w:rPr>
            <w:rFonts w:ascii="Times New Roman" w:hAnsi="Times New Roman" w:cs="Times New Roman"/>
            <w:sz w:val="21"/>
          </w:rPr>
          <w:fldChar w:fldCharType="end"/>
        </w:r>
      </w:p>
    </w:sdtContent>
  </w:sdt>
  <w:p w14:paraId="63FD3A5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244C3"/>
    <w:multiLevelType w:val="singleLevel"/>
    <w:tmpl w:val="CD8244C3"/>
    <w:lvl w:ilvl="0" w:tentative="0">
      <w:start w:val="4"/>
      <w:numFmt w:val="decimal"/>
      <w:suff w:val="nothing"/>
      <w:lvlText w:val="%1、"/>
      <w:lvlJc w:val="left"/>
    </w:lvl>
  </w:abstractNum>
  <w:abstractNum w:abstractNumId="1">
    <w:nsid w:val="28A908BD"/>
    <w:multiLevelType w:val="multilevel"/>
    <w:tmpl w:val="28A908BD"/>
    <w:lvl w:ilvl="0" w:tentative="0">
      <w:start w:val="1"/>
      <w:numFmt w:val="decimal"/>
      <w:suff w:val="space"/>
      <w:lvlText w:val="%1."/>
      <w:lvlJc w:val="left"/>
      <w:pPr>
        <w:ind w:left="851" w:firstLine="141"/>
      </w:pPr>
      <w:rPr>
        <w:rFonts w:hint="default"/>
      </w:rPr>
    </w:lvl>
    <w:lvl w:ilvl="1" w:tentative="0">
      <w:start w:val="1"/>
      <w:numFmt w:val="lowerLetter"/>
      <w:lvlText w:val="%2)"/>
      <w:lvlJc w:val="left"/>
      <w:pPr>
        <w:ind w:left="1271" w:hanging="420"/>
      </w:pPr>
    </w:lvl>
    <w:lvl w:ilvl="2" w:tentative="0">
      <w:start w:val="1"/>
      <w:numFmt w:val="lowerRoman"/>
      <w:lvlText w:val="%3."/>
      <w:lvlJc w:val="right"/>
      <w:pPr>
        <w:ind w:left="1691" w:hanging="420"/>
      </w:pPr>
    </w:lvl>
    <w:lvl w:ilvl="3" w:tentative="0">
      <w:start w:val="1"/>
      <w:numFmt w:val="decimal"/>
      <w:lvlText w:val="%4."/>
      <w:lvlJc w:val="left"/>
      <w:pPr>
        <w:ind w:left="2111" w:hanging="420"/>
      </w:pPr>
    </w:lvl>
    <w:lvl w:ilvl="4" w:tentative="0">
      <w:start w:val="1"/>
      <w:numFmt w:val="lowerLetter"/>
      <w:lvlText w:val="%5)"/>
      <w:lvlJc w:val="left"/>
      <w:pPr>
        <w:ind w:left="2531" w:hanging="420"/>
      </w:pPr>
    </w:lvl>
    <w:lvl w:ilvl="5" w:tentative="0">
      <w:start w:val="1"/>
      <w:numFmt w:val="lowerRoman"/>
      <w:lvlText w:val="%6."/>
      <w:lvlJc w:val="right"/>
      <w:pPr>
        <w:ind w:left="2951" w:hanging="420"/>
      </w:pPr>
    </w:lvl>
    <w:lvl w:ilvl="6" w:tentative="0">
      <w:start w:val="1"/>
      <w:numFmt w:val="decimal"/>
      <w:lvlText w:val="%7."/>
      <w:lvlJc w:val="left"/>
      <w:pPr>
        <w:ind w:left="3371" w:hanging="420"/>
      </w:pPr>
    </w:lvl>
    <w:lvl w:ilvl="7" w:tentative="0">
      <w:start w:val="1"/>
      <w:numFmt w:val="lowerLetter"/>
      <w:lvlText w:val="%8)"/>
      <w:lvlJc w:val="left"/>
      <w:pPr>
        <w:ind w:left="3791" w:hanging="420"/>
      </w:pPr>
    </w:lvl>
    <w:lvl w:ilvl="8" w:tentative="0">
      <w:start w:val="1"/>
      <w:numFmt w:val="lowerRoman"/>
      <w:lvlText w:val="%9."/>
      <w:lvlJc w:val="right"/>
      <w:pPr>
        <w:ind w:left="4211" w:hanging="420"/>
      </w:pPr>
    </w:lvl>
  </w:abstractNum>
  <w:abstractNum w:abstractNumId="2">
    <w:nsid w:val="637B383A"/>
    <w:multiLevelType w:val="multilevel"/>
    <w:tmpl w:val="637B383A"/>
    <w:lvl w:ilvl="0" w:tentative="0">
      <w:start w:val="1"/>
      <w:numFmt w:val="decimal"/>
      <w:suff w:val="space"/>
      <w:lvlText w:val="%1."/>
      <w:lvlJc w:val="left"/>
      <w:pPr>
        <w:ind w:left="420" w:firstLine="141"/>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2MTQ3N2RmMjkwN2NlMjdiMGI1MDk4ZGQyNTU0NzYifQ=="/>
  </w:docVars>
  <w:rsids>
    <w:rsidRoot w:val="00E52BA2"/>
    <w:rsid w:val="000155FC"/>
    <w:rsid w:val="0003634C"/>
    <w:rsid w:val="00047B78"/>
    <w:rsid w:val="00075BF7"/>
    <w:rsid w:val="000858CB"/>
    <w:rsid w:val="000A1D63"/>
    <w:rsid w:val="000E1151"/>
    <w:rsid w:val="001014C5"/>
    <w:rsid w:val="00117C29"/>
    <w:rsid w:val="001554FA"/>
    <w:rsid w:val="001955F0"/>
    <w:rsid w:val="001A6DEA"/>
    <w:rsid w:val="001A7D28"/>
    <w:rsid w:val="00225AB9"/>
    <w:rsid w:val="00253321"/>
    <w:rsid w:val="00260C25"/>
    <w:rsid w:val="00275532"/>
    <w:rsid w:val="00282AE0"/>
    <w:rsid w:val="00294FD2"/>
    <w:rsid w:val="002A1DDB"/>
    <w:rsid w:val="002B07E2"/>
    <w:rsid w:val="002B1046"/>
    <w:rsid w:val="002B1A5A"/>
    <w:rsid w:val="002C093B"/>
    <w:rsid w:val="002E28AA"/>
    <w:rsid w:val="002F630A"/>
    <w:rsid w:val="003849AE"/>
    <w:rsid w:val="003D48F7"/>
    <w:rsid w:val="003F01E7"/>
    <w:rsid w:val="003F5170"/>
    <w:rsid w:val="00421A45"/>
    <w:rsid w:val="0043131D"/>
    <w:rsid w:val="0047358A"/>
    <w:rsid w:val="004920B5"/>
    <w:rsid w:val="00495E29"/>
    <w:rsid w:val="004A7E78"/>
    <w:rsid w:val="004E6B0B"/>
    <w:rsid w:val="005269F1"/>
    <w:rsid w:val="00531B1C"/>
    <w:rsid w:val="005809A0"/>
    <w:rsid w:val="00594D6E"/>
    <w:rsid w:val="005F20B8"/>
    <w:rsid w:val="005F5827"/>
    <w:rsid w:val="00634DEB"/>
    <w:rsid w:val="00654F9A"/>
    <w:rsid w:val="00680122"/>
    <w:rsid w:val="006C55D5"/>
    <w:rsid w:val="00744949"/>
    <w:rsid w:val="00746883"/>
    <w:rsid w:val="00782932"/>
    <w:rsid w:val="007C29F2"/>
    <w:rsid w:val="007D267E"/>
    <w:rsid w:val="007D74F1"/>
    <w:rsid w:val="007E1487"/>
    <w:rsid w:val="007F0CA8"/>
    <w:rsid w:val="00806441"/>
    <w:rsid w:val="00807F8F"/>
    <w:rsid w:val="0082103B"/>
    <w:rsid w:val="008617EE"/>
    <w:rsid w:val="00895D68"/>
    <w:rsid w:val="008C352F"/>
    <w:rsid w:val="008C64E1"/>
    <w:rsid w:val="00904F80"/>
    <w:rsid w:val="00924C0C"/>
    <w:rsid w:val="00927087"/>
    <w:rsid w:val="00974FBC"/>
    <w:rsid w:val="009B6FA1"/>
    <w:rsid w:val="009B76FD"/>
    <w:rsid w:val="009C355E"/>
    <w:rsid w:val="00A334CA"/>
    <w:rsid w:val="00A40A03"/>
    <w:rsid w:val="00A56896"/>
    <w:rsid w:val="00A82E4B"/>
    <w:rsid w:val="00A840F8"/>
    <w:rsid w:val="00AA0671"/>
    <w:rsid w:val="00AB4C90"/>
    <w:rsid w:val="00AD6F3B"/>
    <w:rsid w:val="00AE04FE"/>
    <w:rsid w:val="00B029CE"/>
    <w:rsid w:val="00B1089F"/>
    <w:rsid w:val="00B42381"/>
    <w:rsid w:val="00B5618A"/>
    <w:rsid w:val="00B76760"/>
    <w:rsid w:val="00B8634D"/>
    <w:rsid w:val="00B87E60"/>
    <w:rsid w:val="00C02701"/>
    <w:rsid w:val="00C30B5A"/>
    <w:rsid w:val="00C33F2F"/>
    <w:rsid w:val="00CA35A3"/>
    <w:rsid w:val="00CB0490"/>
    <w:rsid w:val="00CD1F1C"/>
    <w:rsid w:val="00CD35AA"/>
    <w:rsid w:val="00D6417F"/>
    <w:rsid w:val="00D7541F"/>
    <w:rsid w:val="00DC0C20"/>
    <w:rsid w:val="00E27367"/>
    <w:rsid w:val="00E4190D"/>
    <w:rsid w:val="00E52BA2"/>
    <w:rsid w:val="00E56DAF"/>
    <w:rsid w:val="00E63B39"/>
    <w:rsid w:val="00E8428E"/>
    <w:rsid w:val="00E9099A"/>
    <w:rsid w:val="00EA72B6"/>
    <w:rsid w:val="00F57B50"/>
    <w:rsid w:val="00F74F30"/>
    <w:rsid w:val="00F9114F"/>
    <w:rsid w:val="00FD5A8E"/>
    <w:rsid w:val="00FE0A8C"/>
    <w:rsid w:val="060043AE"/>
    <w:rsid w:val="1E391449"/>
    <w:rsid w:val="229B20FD"/>
    <w:rsid w:val="260A1D9C"/>
    <w:rsid w:val="2F3216D1"/>
    <w:rsid w:val="2F683B53"/>
    <w:rsid w:val="2FE778C1"/>
    <w:rsid w:val="3E251484"/>
    <w:rsid w:val="3E5B2C1B"/>
    <w:rsid w:val="3E816232"/>
    <w:rsid w:val="46DA62FE"/>
    <w:rsid w:val="473232DB"/>
    <w:rsid w:val="597D292E"/>
    <w:rsid w:val="6D1E56CA"/>
    <w:rsid w:val="710569D0"/>
    <w:rsid w:val="74A21BB2"/>
    <w:rsid w:val="7B60354E"/>
    <w:rsid w:val="7B9F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99"/>
    <w:pPr>
      <w:jc w:val="left"/>
    </w:pPr>
  </w:style>
  <w:style w:type="paragraph" w:styleId="3">
    <w:name w:val="Body Text"/>
    <w:basedOn w:val="1"/>
    <w:link w:val="17"/>
    <w:qFormat/>
    <w:uiPriority w:val="0"/>
    <w:pPr>
      <w:jc w:val="center"/>
    </w:pPr>
    <w:rPr>
      <w:rFonts w:ascii="Times New Roman" w:hAnsi="Times New Roman" w:eastAsia="宋体" w:cs="Times New Roman"/>
      <w:b/>
      <w:bCs/>
      <w:sz w:val="24"/>
      <w:szCs w:val="24"/>
    </w:rPr>
  </w:style>
  <w:style w:type="paragraph" w:styleId="4">
    <w:name w:val="Plain Text"/>
    <w:basedOn w:val="1"/>
    <w:link w:val="20"/>
    <w:qFormat/>
    <w:uiPriority w:val="0"/>
    <w:rPr>
      <w:rFonts w:hint="eastAsia" w:ascii="宋体" w:hAnsi="Courier New" w:eastAsia="宋体" w:cs="Times New Roman"/>
      <w:szCs w:val="20"/>
    </w:rPr>
  </w:style>
  <w:style w:type="paragraph" w:styleId="5">
    <w:name w:val="Balloon Text"/>
    <w:basedOn w:val="1"/>
    <w:link w:val="21"/>
    <w:semiHidden/>
    <w:unhideWhenUsed/>
    <w:qFormat/>
    <w:uiPriority w:val="99"/>
    <w:rPr>
      <w:rFonts w:ascii="Times New Roman" w:hAnsi="Times New Roman" w:eastAsia="宋体" w:cs="Times New Roman"/>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24"/>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qFormat/>
    <w:uiPriority w:val="0"/>
    <w:rPr>
      <w:color w:val="0000A0"/>
      <w:u w:val="single"/>
    </w:rPr>
  </w:style>
  <w:style w:type="character" w:styleId="15">
    <w:name w:val="annotation reference"/>
    <w:basedOn w:val="12"/>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正文文本 字符"/>
    <w:basedOn w:val="12"/>
    <w:link w:val="3"/>
    <w:qFormat/>
    <w:uiPriority w:val="0"/>
    <w:rPr>
      <w:rFonts w:ascii="Times New Roman" w:hAnsi="Times New Roman" w:eastAsia="宋体" w:cs="Times New Roman"/>
      <w:b/>
      <w:bCs/>
      <w:sz w:val="24"/>
      <w:szCs w:val="24"/>
    </w:rPr>
  </w:style>
  <w:style w:type="character" w:customStyle="1" w:styleId="18">
    <w:name w:val="页眉 字符"/>
    <w:basedOn w:val="12"/>
    <w:link w:val="7"/>
    <w:qFormat/>
    <w:uiPriority w:val="99"/>
    <w:rPr>
      <w:sz w:val="18"/>
      <w:szCs w:val="18"/>
    </w:rPr>
  </w:style>
  <w:style w:type="character" w:customStyle="1" w:styleId="19">
    <w:name w:val="页脚 字符"/>
    <w:basedOn w:val="12"/>
    <w:link w:val="6"/>
    <w:qFormat/>
    <w:uiPriority w:val="99"/>
    <w:rPr>
      <w:sz w:val="18"/>
      <w:szCs w:val="18"/>
    </w:rPr>
  </w:style>
  <w:style w:type="character" w:customStyle="1" w:styleId="20">
    <w:name w:val="纯文本 字符"/>
    <w:basedOn w:val="12"/>
    <w:link w:val="4"/>
    <w:qFormat/>
    <w:uiPriority w:val="0"/>
    <w:rPr>
      <w:rFonts w:ascii="宋体" w:hAnsi="Courier New" w:eastAsia="宋体" w:cs="Times New Roman"/>
      <w:szCs w:val="20"/>
    </w:rPr>
  </w:style>
  <w:style w:type="character" w:customStyle="1" w:styleId="21">
    <w:name w:val="批注框文本 字符"/>
    <w:basedOn w:val="12"/>
    <w:link w:val="5"/>
    <w:semiHidden/>
    <w:qFormat/>
    <w:uiPriority w:val="99"/>
    <w:rPr>
      <w:rFonts w:ascii="Times New Roman" w:hAnsi="Times New Roman" w:eastAsia="宋体" w:cs="Times New Roman"/>
      <w:sz w:val="18"/>
      <w:szCs w:val="18"/>
    </w:rPr>
  </w:style>
  <w:style w:type="paragraph" w:customStyle="1" w:styleId="2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3">
    <w:name w:val="批注文字 字符"/>
    <w:basedOn w:val="12"/>
    <w:link w:val="2"/>
    <w:semiHidden/>
    <w:qFormat/>
    <w:uiPriority w:val="99"/>
    <w:rPr>
      <w:kern w:val="2"/>
      <w:sz w:val="21"/>
      <w:szCs w:val="22"/>
    </w:rPr>
  </w:style>
  <w:style w:type="character" w:customStyle="1" w:styleId="24">
    <w:name w:val="批注主题 字符"/>
    <w:basedOn w:val="23"/>
    <w:link w:val="9"/>
    <w:semiHidden/>
    <w:qFormat/>
    <w:uiPriority w:val="99"/>
    <w:rPr>
      <w:b/>
      <w:bCs/>
      <w:kern w:val="2"/>
      <w:sz w:val="21"/>
      <w:szCs w:val="22"/>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4544</Words>
  <Characters>4832</Characters>
  <Lines>39</Lines>
  <Paragraphs>11</Paragraphs>
  <TotalTime>18</TotalTime>
  <ScaleCrop>false</ScaleCrop>
  <LinksUpToDate>false</LinksUpToDate>
  <CharactersWithSpaces>4902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2023-09-23T03:35:00Z</dcterms:created>
  <dc:creator>DELL</dc:creator>
  <cp:lastModifiedBy>刘婉迪</cp:lastModifiedBy>
  <cp:lastPrinted>2020-09-21T06:42:00Z</cp:lastPrinted>
  <dcterms:modified xsi:type="dcterms:W3CDTF">2024-09-11T02:16:38Z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9305D4F47E53468AB61EBAD37006414C_13</vt:lpwstr>
  </property>
</Properties>
</file>