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CBF7">
      <w:pPr>
        <w:pStyle w:val="5"/>
        <w:spacing w:line="480" w:lineRule="exact"/>
        <w:rPr>
          <w:rFonts w:hint="default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  <w:t>附件2：</w:t>
      </w:r>
    </w:p>
    <w:p w14:paraId="1590160F">
      <w:pPr>
        <w:pStyle w:val="10"/>
        <w:widowControl/>
        <w:spacing w:before="0" w:beforeAutospacing="0" w:after="0" w:afterAutospacing="0" w:line="480" w:lineRule="exact"/>
        <w:jc w:val="center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学生综合评价成绩A2记分表</w:t>
      </w:r>
    </w:p>
    <w:p w14:paraId="454CAC82">
      <w:pPr>
        <w:pStyle w:val="10"/>
        <w:widowControl/>
        <w:spacing w:before="0" w:beforeAutospacing="0" w:after="0" w:afterAutospacing="0" w:line="480" w:lineRule="exact"/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  <w:t xml:space="preserve"> 各项目占分权重</w:t>
      </w:r>
    </w:p>
    <w:tbl>
      <w:tblPr>
        <w:tblStyle w:val="1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967"/>
        <w:gridCol w:w="4776"/>
      </w:tblGrid>
      <w:tr w14:paraId="1C5D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827" w:type="dxa"/>
            <w:noWrap/>
            <w:vAlign w:val="center"/>
          </w:tcPr>
          <w:p w14:paraId="5098F0A5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综合评价项目</w:t>
            </w:r>
          </w:p>
        </w:tc>
        <w:tc>
          <w:tcPr>
            <w:tcW w:w="1967" w:type="dxa"/>
            <w:noWrap/>
            <w:vAlign w:val="center"/>
          </w:tcPr>
          <w:p w14:paraId="5C3E1CB1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项目权重分</w:t>
            </w:r>
          </w:p>
        </w:tc>
        <w:tc>
          <w:tcPr>
            <w:tcW w:w="4776" w:type="dxa"/>
            <w:noWrap/>
            <w:vAlign w:val="center"/>
          </w:tcPr>
          <w:p w14:paraId="35B27432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要求</w:t>
            </w:r>
          </w:p>
        </w:tc>
      </w:tr>
      <w:tr w14:paraId="1868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27" w:type="dxa"/>
            <w:noWrap/>
            <w:vAlign w:val="center"/>
          </w:tcPr>
          <w:p w14:paraId="5277AC11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自我评价</w:t>
            </w:r>
          </w:p>
        </w:tc>
        <w:tc>
          <w:tcPr>
            <w:tcW w:w="1967" w:type="dxa"/>
            <w:noWrap/>
            <w:vAlign w:val="center"/>
          </w:tcPr>
          <w:p w14:paraId="134D21D5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50</w:t>
            </w:r>
          </w:p>
        </w:tc>
        <w:tc>
          <w:tcPr>
            <w:tcW w:w="4776" w:type="dxa"/>
            <w:noWrap/>
            <w:vAlign w:val="center"/>
          </w:tcPr>
          <w:p w14:paraId="00BC0FBC">
            <w:pPr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分数计算标准见《</w:t>
            </w: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土木与交通学院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学生自我评价评分标准》</w:t>
            </w:r>
          </w:p>
        </w:tc>
      </w:tr>
      <w:tr w14:paraId="4273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27" w:type="dxa"/>
            <w:noWrap/>
            <w:vAlign w:val="center"/>
          </w:tcPr>
          <w:p w14:paraId="412AB98A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参军入伍服兵役</w:t>
            </w:r>
          </w:p>
        </w:tc>
        <w:tc>
          <w:tcPr>
            <w:tcW w:w="1967" w:type="dxa"/>
            <w:noWrap/>
            <w:vAlign w:val="center"/>
          </w:tcPr>
          <w:p w14:paraId="0C10CEB0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4776" w:type="dxa"/>
            <w:noWrap/>
            <w:vAlign w:val="center"/>
          </w:tcPr>
          <w:p w14:paraId="232AE7D6">
            <w:pPr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提供证明</w:t>
            </w:r>
          </w:p>
        </w:tc>
      </w:tr>
      <w:tr w14:paraId="7518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27" w:type="dxa"/>
            <w:noWrap/>
            <w:vAlign w:val="center"/>
          </w:tcPr>
          <w:p w14:paraId="1FCB7360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参加志愿服务</w:t>
            </w:r>
          </w:p>
        </w:tc>
        <w:tc>
          <w:tcPr>
            <w:tcW w:w="1967" w:type="dxa"/>
            <w:noWrap/>
            <w:vAlign w:val="center"/>
          </w:tcPr>
          <w:p w14:paraId="456825DC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4776" w:type="dxa"/>
            <w:noWrap/>
            <w:vAlign w:val="center"/>
          </w:tcPr>
          <w:p w14:paraId="52C08F55">
            <w:pPr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省级人民政府举办的大型活动志愿者，提供证书或者聘书等证明材料（认定范围见附件2）</w:t>
            </w:r>
          </w:p>
        </w:tc>
      </w:tr>
      <w:tr w14:paraId="5633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827" w:type="dxa"/>
            <w:noWrap/>
            <w:vAlign w:val="center"/>
          </w:tcPr>
          <w:p w14:paraId="0F2D7FC3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科研成果</w:t>
            </w:r>
          </w:p>
        </w:tc>
        <w:tc>
          <w:tcPr>
            <w:tcW w:w="1967" w:type="dxa"/>
            <w:noWrap/>
            <w:vAlign w:val="center"/>
          </w:tcPr>
          <w:p w14:paraId="4238C39F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30</w:t>
            </w:r>
          </w:p>
        </w:tc>
        <w:tc>
          <w:tcPr>
            <w:tcW w:w="4776" w:type="dxa"/>
            <w:noWrap/>
            <w:vAlign w:val="center"/>
          </w:tcPr>
          <w:p w14:paraId="41C08164">
            <w:pPr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计分方法及要求见附件2</w:t>
            </w: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提供证明</w:t>
            </w:r>
          </w:p>
        </w:tc>
      </w:tr>
      <w:tr w14:paraId="505B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827" w:type="dxa"/>
            <w:noWrap/>
            <w:vAlign w:val="center"/>
          </w:tcPr>
          <w:p w14:paraId="44AC1D97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竞赛获奖</w:t>
            </w:r>
          </w:p>
        </w:tc>
        <w:tc>
          <w:tcPr>
            <w:tcW w:w="1967" w:type="dxa"/>
            <w:noWrap/>
            <w:vAlign w:val="center"/>
          </w:tcPr>
          <w:p w14:paraId="2B530594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4776" w:type="dxa"/>
            <w:noWrap/>
            <w:vAlign w:val="center"/>
          </w:tcPr>
          <w:p w14:paraId="7B4E1D15">
            <w:pPr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计分方法及要求见附件2</w:t>
            </w:r>
            <w:r>
              <w:rPr>
                <w:rFonts w:hint="eastAsia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32"/>
                <w:szCs w:val="32"/>
                <w:highlight w:val="none"/>
                <w:lang w:val="en-US" w:eastAsia="zh-CN" w:bidi="zh-CN"/>
              </w:rPr>
              <w:t>提供证明</w:t>
            </w:r>
          </w:p>
        </w:tc>
      </w:tr>
    </w:tbl>
    <w:p w14:paraId="3D91DC1B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241CD6B5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1D1D179A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5AC13188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5869184C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2747C19E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62165865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1857A360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714FC78F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43C01A8F">
      <w:pPr>
        <w:pStyle w:val="10"/>
        <w:widowControl/>
        <w:spacing w:before="150" w:beforeAutospacing="0" w:after="15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 w:bidi="zh-CN"/>
        </w:rPr>
      </w:pPr>
    </w:p>
    <w:p w14:paraId="54B31CC5">
      <w:pPr>
        <w:pStyle w:val="10"/>
        <w:widowControl/>
        <w:spacing w:before="0" w:beforeAutospacing="0" w:after="0" w:afterAutospacing="0" w:line="480" w:lineRule="exact"/>
        <w:jc w:val="center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学生综合评价成绩A2计分方法及要求</w:t>
      </w:r>
    </w:p>
    <w:p w14:paraId="0B4E2683">
      <w:pPr>
        <w:spacing w:line="480" w:lineRule="exact"/>
        <w:rPr>
          <w:rFonts w:hint="default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一、自我评价</w:t>
      </w:r>
      <w:r>
        <w:rPr>
          <w:rFonts w:hint="eastAsia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计分方法及要求（满分50分）</w:t>
      </w:r>
    </w:p>
    <w:p w14:paraId="15202F3B">
      <w:pPr>
        <w:spacing w:line="480" w:lineRule="exact"/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  <w:t>（一）学生自我评价内容</w:t>
      </w:r>
    </w:p>
    <w:tbl>
      <w:tblPr>
        <w:tblStyle w:val="12"/>
        <w:tblpPr w:leftFromText="180" w:rightFromText="180" w:vertAnchor="text" w:horzAnchor="page" w:tblpX="1276" w:tblpY="246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514"/>
        <w:gridCol w:w="1736"/>
      </w:tblGrid>
      <w:tr w14:paraId="525E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50" w:type="dxa"/>
            <w:noWrap/>
            <w:vAlign w:val="center"/>
          </w:tcPr>
          <w:p w14:paraId="7E478098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段落</w:t>
            </w:r>
          </w:p>
        </w:tc>
        <w:tc>
          <w:tcPr>
            <w:tcW w:w="6514" w:type="dxa"/>
            <w:noWrap/>
            <w:vAlign w:val="center"/>
          </w:tcPr>
          <w:p w14:paraId="474BDAA5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736" w:type="dxa"/>
            <w:noWrap/>
            <w:vAlign w:val="center"/>
          </w:tcPr>
          <w:p w14:paraId="38961F4B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要求</w:t>
            </w:r>
          </w:p>
        </w:tc>
      </w:tr>
      <w:tr w14:paraId="6025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0" w:type="dxa"/>
            <w:noWrap/>
            <w:vAlign w:val="center"/>
          </w:tcPr>
          <w:p w14:paraId="375C10E5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第一段</w:t>
            </w:r>
          </w:p>
        </w:tc>
        <w:tc>
          <w:tcPr>
            <w:tcW w:w="6514" w:type="dxa"/>
            <w:noWrap/>
            <w:vAlign w:val="center"/>
          </w:tcPr>
          <w:p w14:paraId="6C564013">
            <w:pPr>
              <w:jc w:val="both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sz w:val="28"/>
                <w:szCs w:val="28"/>
                <w:highlight w:val="none"/>
                <w:lang w:val="en-US" w:eastAsia="zh-CN" w:bidi="zh-CN"/>
              </w:rPr>
              <w:t>本人思想政治品德、参军入伍服兵役、参加志愿服务、科研成果、竞赛获奖等符合全面发展价值导向等各方面表现（大学期间的自我评价与收获）</w:t>
            </w:r>
          </w:p>
        </w:tc>
        <w:tc>
          <w:tcPr>
            <w:tcW w:w="1736" w:type="dxa"/>
            <w:noWrap/>
            <w:vAlign w:val="center"/>
          </w:tcPr>
          <w:p w14:paraId="6BC71C5A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1000字之内</w:t>
            </w:r>
          </w:p>
        </w:tc>
      </w:tr>
      <w:tr w14:paraId="16A0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/>
            <w:vAlign w:val="center"/>
          </w:tcPr>
          <w:p w14:paraId="12617673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第二段</w:t>
            </w:r>
          </w:p>
        </w:tc>
        <w:tc>
          <w:tcPr>
            <w:tcW w:w="6514" w:type="dxa"/>
            <w:noWrap/>
            <w:vAlign w:val="center"/>
          </w:tcPr>
          <w:p w14:paraId="3A358880">
            <w:pPr>
              <w:jc w:val="both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攻读研究生阶段的学习计划和目标</w:t>
            </w:r>
          </w:p>
        </w:tc>
        <w:tc>
          <w:tcPr>
            <w:tcW w:w="1736" w:type="dxa"/>
            <w:noWrap/>
            <w:vAlign w:val="center"/>
          </w:tcPr>
          <w:p w14:paraId="1F7D137B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600字之内</w:t>
            </w:r>
          </w:p>
        </w:tc>
      </w:tr>
      <w:tr w14:paraId="7EC9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/>
            <w:vAlign w:val="center"/>
          </w:tcPr>
          <w:p w14:paraId="0788C5C6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第三段</w:t>
            </w:r>
          </w:p>
        </w:tc>
        <w:tc>
          <w:tcPr>
            <w:tcW w:w="6514" w:type="dxa"/>
            <w:noWrap/>
            <w:vAlign w:val="center"/>
          </w:tcPr>
          <w:p w14:paraId="436A1C69">
            <w:pPr>
              <w:jc w:val="both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攻读研究生阶段的科研学术兴趣、研究计划和目标</w:t>
            </w:r>
          </w:p>
        </w:tc>
        <w:tc>
          <w:tcPr>
            <w:tcW w:w="1736" w:type="dxa"/>
            <w:noWrap/>
            <w:vAlign w:val="center"/>
          </w:tcPr>
          <w:p w14:paraId="4E08B249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600字之内</w:t>
            </w:r>
          </w:p>
        </w:tc>
      </w:tr>
      <w:tr w14:paraId="4352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noWrap/>
            <w:vAlign w:val="center"/>
          </w:tcPr>
          <w:p w14:paraId="6D555D0B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第四段</w:t>
            </w:r>
          </w:p>
        </w:tc>
        <w:tc>
          <w:tcPr>
            <w:tcW w:w="6514" w:type="dxa"/>
            <w:noWrap/>
            <w:vAlign w:val="center"/>
          </w:tcPr>
          <w:p w14:paraId="0F37B9A8">
            <w:pPr>
              <w:jc w:val="both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本人对保送研究生的目标学校及其他设想</w:t>
            </w:r>
          </w:p>
        </w:tc>
        <w:tc>
          <w:tcPr>
            <w:tcW w:w="1736" w:type="dxa"/>
            <w:noWrap/>
            <w:vAlign w:val="center"/>
          </w:tcPr>
          <w:p w14:paraId="7FC94384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300字之内</w:t>
            </w:r>
          </w:p>
        </w:tc>
      </w:tr>
    </w:tbl>
    <w:p w14:paraId="06EAE1B2">
      <w:pPr>
        <w:rPr>
          <w:color w:val="auto"/>
          <w:sz w:val="28"/>
          <w:szCs w:val="28"/>
          <w:highlight w:val="none"/>
        </w:rPr>
      </w:pPr>
    </w:p>
    <w:p w14:paraId="18A5F913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  <w:t>（二）学生自我评价评分标准</w:t>
      </w:r>
    </w:p>
    <w:tbl>
      <w:tblPr>
        <w:tblStyle w:val="12"/>
        <w:tblpPr w:leftFromText="180" w:rightFromText="180" w:vertAnchor="text" w:horzAnchor="page" w:tblpX="1285" w:tblpY="306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518"/>
        <w:gridCol w:w="1759"/>
      </w:tblGrid>
      <w:tr w14:paraId="3009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7" w:type="dxa"/>
            <w:noWrap/>
            <w:vAlign w:val="center"/>
          </w:tcPr>
          <w:p w14:paraId="2BF2DFC2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段落</w:t>
            </w:r>
          </w:p>
        </w:tc>
        <w:tc>
          <w:tcPr>
            <w:tcW w:w="6518" w:type="dxa"/>
            <w:noWrap/>
            <w:vAlign w:val="center"/>
          </w:tcPr>
          <w:p w14:paraId="41672201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759" w:type="dxa"/>
            <w:noWrap/>
            <w:vAlign w:val="center"/>
          </w:tcPr>
          <w:p w14:paraId="2F49C218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占比</w:t>
            </w:r>
          </w:p>
        </w:tc>
      </w:tr>
      <w:tr w14:paraId="4E56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7" w:type="dxa"/>
            <w:noWrap/>
            <w:vAlign w:val="center"/>
          </w:tcPr>
          <w:p w14:paraId="29C2CC74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第一段</w:t>
            </w:r>
          </w:p>
        </w:tc>
        <w:tc>
          <w:tcPr>
            <w:tcW w:w="6518" w:type="dxa"/>
            <w:noWrap/>
            <w:vAlign w:val="center"/>
          </w:tcPr>
          <w:p w14:paraId="4A562E2D">
            <w:pPr>
              <w:jc w:val="both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注重对学生政治态度、思想表现、道德品质、诚实守信、遵纪守法等方面的考查，对申请学生的思想品德进行严格考核，考核不合格者不予推荐和录取。</w:t>
            </w:r>
          </w:p>
        </w:tc>
        <w:tc>
          <w:tcPr>
            <w:tcW w:w="1759" w:type="dxa"/>
            <w:noWrap/>
            <w:vAlign w:val="center"/>
          </w:tcPr>
          <w:p w14:paraId="2F1F7305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20%</w:t>
            </w:r>
          </w:p>
        </w:tc>
      </w:tr>
      <w:tr w14:paraId="6A8F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noWrap/>
            <w:vAlign w:val="center"/>
          </w:tcPr>
          <w:p w14:paraId="666B7BF5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第二段</w:t>
            </w:r>
          </w:p>
        </w:tc>
        <w:tc>
          <w:tcPr>
            <w:tcW w:w="6518" w:type="dxa"/>
            <w:noWrap/>
            <w:vAlign w:val="center"/>
          </w:tcPr>
          <w:p w14:paraId="6C2D42D7">
            <w:pPr>
              <w:jc w:val="both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条理清晰，符合研究生培养的目标</w:t>
            </w:r>
          </w:p>
        </w:tc>
        <w:tc>
          <w:tcPr>
            <w:tcW w:w="1759" w:type="dxa"/>
            <w:noWrap/>
            <w:vAlign w:val="center"/>
          </w:tcPr>
          <w:p w14:paraId="53700AAE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30%</w:t>
            </w:r>
          </w:p>
        </w:tc>
      </w:tr>
      <w:tr w14:paraId="0158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noWrap/>
            <w:vAlign w:val="center"/>
          </w:tcPr>
          <w:p w14:paraId="4E4D2611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第三段</w:t>
            </w:r>
          </w:p>
        </w:tc>
        <w:tc>
          <w:tcPr>
            <w:tcW w:w="6518" w:type="dxa"/>
            <w:noWrap/>
            <w:vAlign w:val="center"/>
          </w:tcPr>
          <w:p w14:paraId="730BF0D3">
            <w:pPr>
              <w:jc w:val="both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计划明确，具有可实施性</w:t>
            </w:r>
          </w:p>
        </w:tc>
        <w:tc>
          <w:tcPr>
            <w:tcW w:w="1759" w:type="dxa"/>
            <w:noWrap/>
            <w:vAlign w:val="center"/>
          </w:tcPr>
          <w:p w14:paraId="1D6F4B2D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30%</w:t>
            </w:r>
          </w:p>
        </w:tc>
      </w:tr>
      <w:tr w14:paraId="1561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noWrap/>
            <w:vAlign w:val="center"/>
          </w:tcPr>
          <w:p w14:paraId="183494F4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第四段</w:t>
            </w:r>
          </w:p>
        </w:tc>
        <w:tc>
          <w:tcPr>
            <w:tcW w:w="6518" w:type="dxa"/>
            <w:noWrap/>
            <w:vAlign w:val="center"/>
          </w:tcPr>
          <w:p w14:paraId="4F77FDD7">
            <w:pPr>
              <w:jc w:val="both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自律、有上进心、有集体荣誉感、有团队合作精神</w:t>
            </w:r>
          </w:p>
        </w:tc>
        <w:tc>
          <w:tcPr>
            <w:tcW w:w="1759" w:type="dxa"/>
            <w:noWrap/>
            <w:vAlign w:val="center"/>
          </w:tcPr>
          <w:p w14:paraId="2556F6E3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20%</w:t>
            </w:r>
          </w:p>
        </w:tc>
      </w:tr>
    </w:tbl>
    <w:p w14:paraId="5BDF05D0">
      <w:pPr>
        <w:pStyle w:val="10"/>
        <w:widowControl/>
        <w:numPr>
          <w:ilvl w:val="0"/>
          <w:numId w:val="0"/>
        </w:numPr>
        <w:spacing w:before="150" w:beforeAutospacing="0" w:after="150" w:afterAutospacing="0" w:line="360" w:lineRule="auto"/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志愿服务计分方法及要求（满分</w:t>
      </w:r>
      <w:r>
        <w:rPr>
          <w:rFonts w:hint="eastAsia" w:ascii="仿宋" w:hAnsi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分）</w:t>
      </w:r>
    </w:p>
    <w:p w14:paraId="08A05B9B">
      <w:pPr>
        <w:pStyle w:val="10"/>
        <w:widowControl/>
        <w:numPr>
          <w:ilvl w:val="0"/>
          <w:numId w:val="0"/>
        </w:numPr>
        <w:spacing w:before="150" w:beforeAutospacing="0" w:after="150" w:afterAutospacing="0"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可认定为志愿服务活动的原则是：付出时间做了某项志愿活动，包括：支教、助残、敬老、社会公益、校园服务、大型赛会、环境保护等。原则上，要省级人民政府举办的大型活动志愿者，</w:t>
      </w:r>
      <w:r>
        <w:rPr>
          <w:rFonts w:hint="eastAsia" w:ascii="仿宋" w:hAnsi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仅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限1次计分</w:t>
      </w:r>
      <w:r>
        <w:rPr>
          <w:rFonts w:hint="eastAsia" w:ascii="仿宋" w:hAnsi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。</w:t>
      </w:r>
    </w:p>
    <w:p w14:paraId="1BEE90EE">
      <w:pPr>
        <w:pStyle w:val="10"/>
        <w:widowControl/>
        <w:numPr>
          <w:ilvl w:val="0"/>
          <w:numId w:val="0"/>
        </w:numPr>
        <w:spacing w:before="150" w:beforeAutospacing="0" w:after="150" w:afterAutospacing="0"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不属于志愿服务活动认定范畴的活动有：</w:t>
      </w:r>
    </w:p>
    <w:p w14:paraId="61B725B1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一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）学生团体的日常自我运作维护，如办公室值班、部门会议、招新活动等；</w:t>
      </w:r>
    </w:p>
    <w:p w14:paraId="29A91498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）学生团体文体活动，如文艺晚会、体育比赛等，但是为比赛、活动、赛事提供志愿服务的可视为志愿服务；（特别提醒：尤其是演员、导演、运动员等，不可认定志愿服务）</w:t>
      </w:r>
    </w:p>
    <w:p w14:paraId="62FBB503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）有薪酬的活动，如有偿家教、各类实习工作等；</w:t>
      </w:r>
    </w:p>
    <w:p w14:paraId="165C7181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四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）其他非公益性活动，如作为观众参加讲座或大型活动；</w:t>
      </w:r>
    </w:p>
    <w:p w14:paraId="2FC7A0F4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五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）某些公益活动，如捐赠物品、捐款、献血等。但是为组织捐赠物品活动付出劳动的活动可视为志愿服务；</w:t>
      </w:r>
    </w:p>
    <w:p w14:paraId="0C0D965F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六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）社会实践（即使是志愿服务类型），已作为社会实践项目立项就不再视为志愿服务。</w:t>
      </w:r>
    </w:p>
    <w:p w14:paraId="42DB7BE8">
      <w:pPr>
        <w:snapToGrid w:val="0"/>
        <w:spacing w:line="360" w:lineRule="auto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三</w:t>
      </w:r>
      <w:r>
        <w:rPr>
          <w:rFonts w:hint="eastAsia" w:ascii="仿宋" w:hAnsi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科研成果计分方法及要求（满分</w:t>
      </w:r>
      <w:r>
        <w:rPr>
          <w:rFonts w:hint="eastAsia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30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分）</w:t>
      </w:r>
    </w:p>
    <w:p w14:paraId="0B0176BC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一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论文（满分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25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分）</w:t>
      </w:r>
    </w:p>
    <w:p w14:paraId="13535C29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论文需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以“南昌航空大学”为第一署名单位，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申请人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为第一作者，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仅限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1篇计分。Science、Nature（不含子期刊）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加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25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分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；SCIⅠ区（收录）、中国社会科学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加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20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分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；SCIⅡ区、SSCI（收录）、A&amp;HCI（收录）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加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15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分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；CSSCI源期刊、新华文摘（部分收录）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加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10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分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；《人民日报》及《光明日报》理论版外刊载文章（3,000字以上）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加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5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分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。</w:t>
      </w:r>
    </w:p>
    <w:p w14:paraId="1CD8FDFB">
      <w:pPr>
        <w:snapToGrid w:val="0"/>
        <w:spacing w:line="360" w:lineRule="auto"/>
        <w:ind w:firstLine="632" w:firstLineChars="200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论文需提供封面、目录、论文纸质版及电子版文件。</w:t>
      </w:r>
    </w:p>
    <w:p w14:paraId="07E03A6F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（二）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专利（满分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5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分）</w:t>
      </w:r>
    </w:p>
    <w:p w14:paraId="65B56041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发明专利加5分，实用新型和软件著作不可加分，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以“南昌航空大学”为第一署名单位，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申请人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为第一作者，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仅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限1项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计分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。</w:t>
      </w:r>
    </w:p>
    <w:p w14:paraId="74CA11FE">
      <w:pPr>
        <w:snapToGrid w:val="0"/>
        <w:spacing w:line="360" w:lineRule="auto"/>
        <w:ind w:firstLine="632" w:firstLineChars="200"/>
        <w:rPr>
          <w:rFonts w:hint="default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专利需提供纸质版及电子版文件。</w:t>
      </w:r>
    </w:p>
    <w:p w14:paraId="2B27EA68">
      <w:pPr>
        <w:numPr>
          <w:ilvl w:val="0"/>
          <w:numId w:val="0"/>
        </w:num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三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三小类项目不建议列入计分项。</w:t>
      </w:r>
    </w:p>
    <w:p w14:paraId="476A9CE3">
      <w:pPr>
        <w:snapToGrid w:val="0"/>
        <w:spacing w:line="360" w:lineRule="auto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、</w:t>
      </w:r>
      <w:r>
        <w:rPr>
          <w:rFonts w:hint="eastAsia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A2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竞赛获奖计分方法及要求（满分</w:t>
      </w:r>
      <w:r>
        <w:rPr>
          <w:rFonts w:hint="eastAsia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  <w:t>分）</w:t>
      </w:r>
    </w:p>
    <w:p w14:paraId="36B066AD">
      <w:pPr>
        <w:snapToGrid w:val="0"/>
        <w:spacing w:line="360" w:lineRule="auto"/>
        <w:ind w:firstLine="632" w:firstLineChars="200"/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（一）A2中竞赛获奖，仅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限定国家级B类赛事（国B类赛事：指以中国高等教育学会“高校竞赛评估与管理体系研究”专家工作组当年发布的《全国普通高校大学生竞赛榜单》内竞赛项目（除“互联网+”、“挑战杯”及不计分的观察竞赛项目）；全运会航模赛），省级赛事不列为加分项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，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具体得分见表1。</w:t>
      </w:r>
    </w:p>
    <w:p w14:paraId="50530C8B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团体参赛计算计分时考虑参赛成员排序，排序系数B按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以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下表计算；计分A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2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=分值×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系数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B（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排名第六位及以后不加分），各类学科竞赛设置的单项奖均不在认定范围，具体得分见表2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。</w:t>
      </w:r>
    </w:p>
    <w:p w14:paraId="09EF579E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已申请A3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竞赛加分的学生，不得再申请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A2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中的竞赛获奖加分，即每位同学只能提交1个最高级别的竞赛获奖进行计分。</w:t>
      </w:r>
    </w:p>
    <w:p w14:paraId="69C79667">
      <w:pPr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竞赛需提供获奖证书复印件及扫描</w:t>
      </w: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件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highlight w:val="none"/>
          <w:lang w:val="zh-CN" w:eastAsia="zh-CN" w:bidi="zh-CN"/>
        </w:rPr>
        <w:t>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3175"/>
        <w:gridCol w:w="3176"/>
      </w:tblGrid>
      <w:tr w14:paraId="5B29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5" w:type="dxa"/>
            <w:vAlign w:val="center"/>
          </w:tcPr>
          <w:p w14:paraId="4C1AD80D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分类</w:t>
            </w:r>
          </w:p>
        </w:tc>
        <w:tc>
          <w:tcPr>
            <w:tcW w:w="3175" w:type="dxa"/>
            <w:vAlign w:val="center"/>
          </w:tcPr>
          <w:p w14:paraId="49F680CD">
            <w:pPr>
              <w:pStyle w:val="5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3176" w:type="dxa"/>
            <w:vAlign w:val="center"/>
          </w:tcPr>
          <w:p w14:paraId="0E172569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 w14:paraId="7AE1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5" w:type="dxa"/>
            <w:vMerge w:val="restart"/>
            <w:vAlign w:val="center"/>
          </w:tcPr>
          <w:p w14:paraId="7E397411">
            <w:pPr>
              <w:pStyle w:val="5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国家级B类</w:t>
            </w:r>
          </w:p>
        </w:tc>
        <w:tc>
          <w:tcPr>
            <w:tcW w:w="3175" w:type="dxa"/>
            <w:vAlign w:val="center"/>
          </w:tcPr>
          <w:p w14:paraId="6D8E5844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特等奖</w:t>
            </w:r>
          </w:p>
        </w:tc>
        <w:tc>
          <w:tcPr>
            <w:tcW w:w="3176" w:type="dxa"/>
            <w:vAlign w:val="center"/>
          </w:tcPr>
          <w:p w14:paraId="1DDE6E8F">
            <w:pPr>
              <w:pStyle w:val="5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5AB5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5" w:type="dxa"/>
            <w:vMerge w:val="continue"/>
            <w:vAlign w:val="center"/>
          </w:tcPr>
          <w:p w14:paraId="4F6F3A1B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3175" w:type="dxa"/>
            <w:vAlign w:val="center"/>
          </w:tcPr>
          <w:p w14:paraId="63B4227C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176" w:type="dxa"/>
            <w:vAlign w:val="center"/>
          </w:tcPr>
          <w:p w14:paraId="55338506">
            <w:pPr>
              <w:pStyle w:val="5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 w14:paraId="76A4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5" w:type="dxa"/>
            <w:vMerge w:val="continue"/>
            <w:vAlign w:val="center"/>
          </w:tcPr>
          <w:p w14:paraId="059B2EF6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3175" w:type="dxa"/>
            <w:vAlign w:val="center"/>
          </w:tcPr>
          <w:p w14:paraId="2A0CF339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176" w:type="dxa"/>
            <w:vAlign w:val="center"/>
          </w:tcPr>
          <w:p w14:paraId="3DA62F9F">
            <w:pPr>
              <w:pStyle w:val="5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48CB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5" w:type="dxa"/>
            <w:vMerge w:val="continue"/>
            <w:vAlign w:val="center"/>
          </w:tcPr>
          <w:p w14:paraId="3ADDD889">
            <w:pPr>
              <w:pStyle w:val="5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5" w:type="dxa"/>
            <w:vAlign w:val="center"/>
          </w:tcPr>
          <w:p w14:paraId="525359AE">
            <w:pPr>
              <w:pStyle w:val="5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176" w:type="dxa"/>
            <w:vAlign w:val="center"/>
          </w:tcPr>
          <w:p w14:paraId="0C03BAA5">
            <w:pPr>
              <w:pStyle w:val="5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</w:tr>
    </w:tbl>
    <w:p w14:paraId="2B7181DF">
      <w:pPr>
        <w:pStyle w:val="5"/>
        <w:spacing w:before="64" w:line="280" w:lineRule="auto"/>
        <w:ind w:right="498" w:firstLine="640"/>
        <w:jc w:val="center"/>
        <w:rPr>
          <w:rFonts w:hint="default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表1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58E1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7ED7BE4C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1587" w:type="dxa"/>
          </w:tcPr>
          <w:p w14:paraId="58AE3D6D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88" w:type="dxa"/>
          </w:tcPr>
          <w:p w14:paraId="1599414C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88" w:type="dxa"/>
          </w:tcPr>
          <w:p w14:paraId="66135018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88" w:type="dxa"/>
          </w:tcPr>
          <w:p w14:paraId="7D70E2CE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88" w:type="dxa"/>
          </w:tcPr>
          <w:p w14:paraId="6BEE2AE0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 w14:paraId="5968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6A50744F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系数B</w:t>
            </w:r>
          </w:p>
        </w:tc>
        <w:tc>
          <w:tcPr>
            <w:tcW w:w="1587" w:type="dxa"/>
          </w:tcPr>
          <w:p w14:paraId="0A5782F2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88" w:type="dxa"/>
          </w:tcPr>
          <w:p w14:paraId="711F2178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0.5</w:t>
            </w:r>
          </w:p>
        </w:tc>
        <w:tc>
          <w:tcPr>
            <w:tcW w:w="1588" w:type="dxa"/>
          </w:tcPr>
          <w:p w14:paraId="4DFB0EB4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1588" w:type="dxa"/>
          </w:tcPr>
          <w:p w14:paraId="143D9CFC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0.2</w:t>
            </w:r>
          </w:p>
        </w:tc>
        <w:tc>
          <w:tcPr>
            <w:tcW w:w="1588" w:type="dxa"/>
          </w:tcPr>
          <w:p w14:paraId="30522B8E">
            <w:pPr>
              <w:pStyle w:val="5"/>
              <w:ind w:right="0"/>
              <w:jc w:val="center"/>
              <w:rPr>
                <w:rFonts w:hint="default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0.1</w:t>
            </w:r>
          </w:p>
        </w:tc>
      </w:tr>
    </w:tbl>
    <w:p w14:paraId="0C57D751">
      <w:pPr>
        <w:pStyle w:val="5"/>
        <w:spacing w:before="64" w:line="280" w:lineRule="auto"/>
        <w:ind w:right="498" w:firstLine="640"/>
        <w:jc w:val="center"/>
        <w:rPr>
          <w:rFonts w:hint="default" w:cs="仿宋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color w:val="auto"/>
          <w:spacing w:val="-2"/>
          <w:sz w:val="32"/>
          <w:szCs w:val="32"/>
          <w:highlight w:val="none"/>
          <w:lang w:val="en-US" w:eastAsia="zh-CN" w:bidi="zh-CN"/>
        </w:rPr>
        <w:t>表2</w:t>
      </w:r>
    </w:p>
    <w:p w14:paraId="5BCF82FB">
      <w:pPr>
        <w:pStyle w:val="5"/>
        <w:spacing w:line="480" w:lineRule="exact"/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</w:p>
    <w:p w14:paraId="0175F80A">
      <w:pPr>
        <w:spacing w:line="240" w:lineRule="auto"/>
        <w:rPr>
          <w:color w:val="auto"/>
          <w:sz w:val="28"/>
          <w:highlight w:val="none"/>
        </w:rPr>
      </w:pPr>
      <w:bookmarkStart w:id="0" w:name="_GoBack"/>
      <w:bookmarkEnd w:id="0"/>
    </w:p>
    <w:sectPr>
      <w:footerReference r:id="rId3" w:type="default"/>
      <w:pgSz w:w="11910" w:h="16840"/>
      <w:pgMar w:top="1600" w:right="1300" w:bottom="1180" w:left="1300" w:header="0" w:footer="99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3B012F-0053-46F9-8D9B-98770DFC54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22A1FD-DDFD-42A3-BD09-032FB556C7D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74759E1-70F1-4FC2-A5DB-4019FC726B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2531B">
    <w:pPr>
      <w:pStyle w:val="5"/>
      <w:spacing w:line="14" w:lineRule="auto"/>
      <w:rPr>
        <w:sz w:val="20"/>
      </w:rPr>
    </w:pPr>
    <w:r>
      <w:rPr>
        <w:sz w:val="20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71A7E93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yZDE4NTgwYjZiNDA1YThkODA0OGE1Mjc5OTg3ODMifQ=="/>
  </w:docVars>
  <w:rsids>
    <w:rsidRoot w:val="00C7485D"/>
    <w:rsid w:val="003F4FF2"/>
    <w:rsid w:val="006D233D"/>
    <w:rsid w:val="00C7485D"/>
    <w:rsid w:val="015C3EDF"/>
    <w:rsid w:val="0FC12A8F"/>
    <w:rsid w:val="12546ECC"/>
    <w:rsid w:val="14052799"/>
    <w:rsid w:val="14C0618F"/>
    <w:rsid w:val="16734C50"/>
    <w:rsid w:val="18CB0BDF"/>
    <w:rsid w:val="1AB73005"/>
    <w:rsid w:val="1CC47F67"/>
    <w:rsid w:val="1EEE5B19"/>
    <w:rsid w:val="212B5A7B"/>
    <w:rsid w:val="230961F8"/>
    <w:rsid w:val="27156CCD"/>
    <w:rsid w:val="2CA822FA"/>
    <w:rsid w:val="3163566D"/>
    <w:rsid w:val="33323549"/>
    <w:rsid w:val="3B1963E5"/>
    <w:rsid w:val="3F331425"/>
    <w:rsid w:val="407919F5"/>
    <w:rsid w:val="487B6002"/>
    <w:rsid w:val="49551C16"/>
    <w:rsid w:val="4B664014"/>
    <w:rsid w:val="4DE441A3"/>
    <w:rsid w:val="50102C8F"/>
    <w:rsid w:val="52424B66"/>
    <w:rsid w:val="551323C2"/>
    <w:rsid w:val="57307B68"/>
    <w:rsid w:val="5EAB4EFB"/>
    <w:rsid w:val="621D1523"/>
    <w:rsid w:val="62302415"/>
    <w:rsid w:val="62973071"/>
    <w:rsid w:val="65A66782"/>
    <w:rsid w:val="694871E3"/>
    <w:rsid w:val="6AF73C36"/>
    <w:rsid w:val="76FE439A"/>
    <w:rsid w:val="7AF11F0E"/>
    <w:rsid w:val="7C860807"/>
    <w:rsid w:val="7CB579CC"/>
    <w:rsid w:val="7DEE3256"/>
    <w:rsid w:val="7EB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377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143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qFormat/>
    <w:uiPriority w:val="0"/>
  </w:style>
  <w:style w:type="paragraph" w:styleId="5">
    <w:name w:val="Body Text"/>
    <w:basedOn w:val="1"/>
    <w:autoRedefine/>
    <w:qFormat/>
    <w:uiPriority w:val="1"/>
    <w:rPr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72" w:after="72" w:line="336" w:lineRule="auto"/>
    </w:pPr>
    <w:rPr>
      <w:rFonts w:ascii="宋体" w:hAnsi="宋体"/>
      <w:sz w:val="24"/>
      <w:szCs w:val="20"/>
    </w:rPr>
  </w:style>
  <w:style w:type="paragraph" w:styleId="11">
    <w:name w:val="annotation subject"/>
    <w:basedOn w:val="4"/>
    <w:next w:val="4"/>
    <w:link w:val="20"/>
    <w:autoRedefine/>
    <w:qFormat/>
    <w:uiPriority w:val="0"/>
    <w:rPr>
      <w:b/>
      <w:bCs/>
    </w:rPr>
  </w:style>
  <w:style w:type="table" w:styleId="13">
    <w:name w:val="Table Grid"/>
    <w:basedOn w:val="12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qFormat/>
    <w:uiPriority w:val="0"/>
    <w:rPr>
      <w:sz w:val="21"/>
      <w:szCs w:val="21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9">
    <w:name w:val="批注文字 字符"/>
    <w:basedOn w:val="14"/>
    <w:link w:val="4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20">
    <w:name w:val="批注主题 字符"/>
    <w:basedOn w:val="19"/>
    <w:link w:val="11"/>
    <w:autoRedefine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21">
    <w:name w:val="批注框文本 字符"/>
    <w:basedOn w:val="14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9108</Words>
  <Characters>9419</Characters>
  <Lines>70</Lines>
  <Paragraphs>19</Paragraphs>
  <TotalTime>29</TotalTime>
  <ScaleCrop>false</ScaleCrop>
  <LinksUpToDate>false</LinksUpToDate>
  <CharactersWithSpaces>10512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2022-09-07T08:36:00Z</dcterms:created>
  <dc:creator>yk</dc:creator>
  <cp:lastModifiedBy>Lynn</cp:lastModifiedBy>
  <cp:lastPrinted>2024-09-05T06:48:00Z</cp:lastPrinted>
  <dcterms:modified xsi:type="dcterms:W3CDTF">2024-09-06T01:52:24Z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2022-09-07T00:00:00Z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91B5C7976A2B4F7189017541AE42F155</vt:lpwstr>
  </property>
</Properties>
</file>