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Types>
</file>

<file path=_rels/.rels><?xml version="1.0" encoding="UTF-8" standalone="yes"?><Relationships xmlns="http://schemas.openxmlformats.org/package/2006/relationships"><Relationship Id="rId2" Type="http://schemas.openxmlformats.org/officeDocument/2006/relationships/extended-properties" Target="docProps/app.xml" /><Relationship Id="rId0" Type="http://schemas.openxmlformats.org/officeDocument/2006/relationships/officeDocument" Target="word/document.xml" /><Relationship Id="rId1" Type="http://schemas.openxmlformats.org/package/2006/relationships/metadata/core-properties" Target="docProps/core.xml" /></Relationships>
</file>

<file path=word/document.xml><?xml version="1.0" encoding="utf-8"?>
<w:document xmlns:pic="http://schemas.openxmlformats.org/drawingml/2006/picture" xmlns:wp="http://schemas.openxmlformats.org/drawingml/2006/wordprocessingDrawing" xmlns:a="http://schemas.openxmlformats.org/drawingml/2006/main" xmlns:w="http://schemas.openxmlformats.org/wordprocessingml/2006/main" xmlns:r="http://schemas.openxmlformats.org/officeDocument/2006/relationships">
  <w:body>
    <w:p>
      <w:pPr>
        <w:pStyle w:val="000002"/>
        <w:snapToGrid/>
        <w:spacing w:before="150" w:after="0" w:line="240"/>
        <w:ind w:left="0" w:right="0" w:hanging="0"/>
        <w:jc w:val="center"/>
        <w:rPr/>
      </w:pPr>
      <w:r>
        <w:rPr>
          <w:rFonts w:ascii="å¾®è½¯é›…é»‘" w:hAnsi="å¾®è½¯é›…é»‘" w:cs="å¾®è½¯é›…é»‘"/>
          <w:b/>
          <w:i w:val="false"/>
          <w:strike w:val="false"/>
          <w:color w:val="000000"/>
          <w:spacing w:val="0"/>
          <w:sz w:val="36"/>
          <w:u w:val="none"/>
        </w:rPr>
        <w:t>湖南科技大学资源环境与安全工程学院关于举办2024年大学生学术夏令营活动的通知</w:t>
      </w:r>
    </w:p>
    <w:p>
      <w:pPr>
        <w:snapToGrid/>
        <w:spacing w:before="0" w:after="0" w:line="500"/>
        <w:ind w:left="0" w:right="0" w:firstLine="560"/>
        <w:jc w:val="both"/>
        <w:rPr/>
      </w:pPr>
      <w:r>
        <w:rPr>
          <w:rFonts w:ascii="仿宋" w:hAnsi="仿宋" w:eastAsia="仿宋" w:cs="仿宋"/>
          <w:i w:val="false"/>
          <w:strike w:val="false"/>
          <w:color w:val="222222"/>
          <w:spacing w:val="0"/>
          <w:sz w:val="28"/>
          <w:u w:val="none"/>
        </w:rPr>
        <w:t>为进一步促进各高校优秀大学生之间的学术交流，增进学生对我院学科和专业的了解，不断优化硕士研究生生源结构、提高生源质量，我院特决定举办“2024年大学生学术夏令营”。现将有关事项通知如下：</w:t>
      </w:r>
    </w:p>
    <w:p>
      <w:pPr>
        <w:snapToGrid/>
        <w:spacing w:before="0" w:after="0" w:line="500"/>
        <w:ind w:left="0" w:right="0" w:firstLine="560"/>
        <w:jc w:val="both"/>
        <w:rPr/>
      </w:pPr>
      <w:r>
        <w:rPr>
          <w:rFonts w:ascii="黑体" w:hAnsi="黑体" w:eastAsia="黑体" w:cs="黑体"/>
          <w:i w:val="false"/>
          <w:strike w:val="false"/>
          <w:color w:val="222222"/>
          <w:spacing w:val="0"/>
          <w:sz w:val="28"/>
          <w:u w:val="none"/>
        </w:rPr>
        <w:t>一、工作安排</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营员规模：</w:t>
      </w:r>
      <w:r>
        <w:rPr>
          <w:rFonts w:ascii="仿宋" w:hAnsi="仿宋" w:eastAsia="仿宋" w:cs="仿宋"/>
          <w:i w:val="false"/>
          <w:strike w:val="false"/>
          <w:color w:val="222222"/>
          <w:spacing w:val="0"/>
          <w:sz w:val="28"/>
          <w:u w:val="single"/>
        </w:rPr>
        <w:t xml:space="preserve"> 40-50</w:t>
      </w:r>
      <w:r>
        <w:rPr>
          <w:rFonts w:ascii="仿宋" w:hAnsi="仿宋" w:eastAsia="仿宋" w:cs="仿宋"/>
          <w:i w:val="false"/>
          <w:strike w:val="false"/>
          <w:color w:val="222222"/>
          <w:spacing w:val="0"/>
          <w:sz w:val="28"/>
          <w:u w:val="none"/>
        </w:rPr>
        <w:t>人左右</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营员报名：</w:t>
      </w:r>
      <w:r>
        <w:rPr>
          <w:rFonts w:ascii="仿宋" w:hAnsi="仿宋" w:eastAsia="仿宋" w:cs="仿宋"/>
          <w:i w:val="false"/>
          <w:strike w:val="false"/>
          <w:color w:val="222222"/>
          <w:spacing w:val="0"/>
          <w:sz w:val="28"/>
          <w:u w:val="none"/>
        </w:rPr>
        <w:t>2024年6月18-27日（6月27日24:00截止，学院根据报名情况可提前结束报名）</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营员选拔：</w:t>
      </w:r>
      <w:r>
        <w:rPr>
          <w:rFonts w:ascii="仿宋" w:hAnsi="仿宋" w:eastAsia="仿宋" w:cs="仿宋"/>
          <w:i w:val="false"/>
          <w:strike w:val="false"/>
          <w:color w:val="222222"/>
          <w:spacing w:val="0"/>
          <w:sz w:val="28"/>
          <w:u w:val="none"/>
        </w:rPr>
        <w:t>将根据申请人的学习成绩、综合素养等条件综合择优遴选，夏令营营员名单将于6月28日在我院官网上公布（</w:t>
      </w:r>
      <w:r>
        <w:rPr>
          <w:rFonts w:ascii="仿宋" w:hAnsi="仿宋" w:eastAsia="仿宋" w:cs="仿宋"/>
          <w:b/>
          <w:i w:val="false"/>
          <w:strike w:val="false"/>
          <w:color w:val="222222"/>
          <w:spacing w:val="0"/>
          <w:sz w:val="28"/>
          <w:u w:val="none"/>
        </w:rPr>
        <w:t>注：如提前结束报名则提前公布</w:t>
      </w:r>
      <w:r>
        <w:rPr>
          <w:rFonts w:ascii="仿宋" w:hAnsi="仿宋" w:eastAsia="仿宋" w:cs="仿宋"/>
          <w:i w:val="false"/>
          <w:strike w:val="false"/>
          <w:color w:val="222222"/>
          <w:spacing w:val="0"/>
          <w:sz w:val="28"/>
          <w:u w:val="none"/>
        </w:rPr>
        <w:t>）。</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夏令营开营：</w:t>
      </w:r>
      <w:r>
        <w:rPr>
          <w:rFonts w:ascii="仿宋" w:hAnsi="仿宋" w:eastAsia="仿宋" w:cs="仿宋"/>
          <w:i w:val="false"/>
          <w:strike w:val="false"/>
          <w:color w:val="222222"/>
          <w:spacing w:val="0"/>
          <w:sz w:val="28"/>
          <w:u w:val="none"/>
        </w:rPr>
        <w:t>2024年7月8-10日</w:t>
      </w:r>
    </w:p>
    <w:p>
      <w:pPr>
        <w:snapToGrid/>
        <w:spacing w:before="0" w:after="0" w:line="500"/>
        <w:ind w:left="0" w:right="0" w:firstLine="560"/>
        <w:jc w:val="both"/>
        <w:rPr/>
      </w:pPr>
      <w:r>
        <w:rPr>
          <w:rFonts w:ascii="黑体" w:hAnsi="黑体" w:eastAsia="黑体" w:cs="黑体"/>
          <w:i w:val="false"/>
          <w:strike w:val="false"/>
          <w:color w:val="222222"/>
          <w:spacing w:val="0"/>
          <w:sz w:val="28"/>
          <w:u w:val="none"/>
        </w:rPr>
        <w:t>二、申请条件</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1.政治素养：</w:t>
      </w:r>
      <w:r>
        <w:rPr>
          <w:rFonts w:ascii="仿宋" w:hAnsi="仿宋" w:eastAsia="仿宋" w:cs="仿宋"/>
          <w:i w:val="false"/>
          <w:strike w:val="false"/>
          <w:color w:val="222222"/>
          <w:spacing w:val="0"/>
          <w:sz w:val="28"/>
          <w:u w:val="none"/>
        </w:rPr>
        <w:t>具有良好的政治素质和思想道德素养，政治立场坚定，德智体美劳全面发展，遵纪守法，身心健康。</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2.外语水平：</w:t>
      </w:r>
      <w:r>
        <w:rPr>
          <w:rFonts w:ascii="仿宋" w:hAnsi="仿宋" w:eastAsia="仿宋" w:cs="仿宋"/>
          <w:i w:val="false"/>
          <w:strike w:val="false"/>
          <w:color w:val="222222"/>
          <w:spacing w:val="0"/>
          <w:sz w:val="28"/>
          <w:u w:val="none"/>
        </w:rPr>
        <w:t>具有较好的外语听、说、读、写能力。</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3.综合素养：</w:t>
      </w:r>
      <w:r>
        <w:rPr>
          <w:rFonts w:ascii="仿宋" w:hAnsi="仿宋" w:eastAsia="仿宋" w:cs="仿宋"/>
          <w:i w:val="false"/>
          <w:strike w:val="false"/>
          <w:color w:val="222222"/>
          <w:spacing w:val="0"/>
          <w:sz w:val="28"/>
          <w:u w:val="none"/>
        </w:rPr>
        <w:t>有较好的专业理论基础和良好的科研潜力。</w:t>
      </w:r>
    </w:p>
    <w:p>
      <w:pPr>
        <w:snapToGrid/>
        <w:spacing w:before="0" w:after="0" w:line="500"/>
        <w:ind w:left="0" w:right="0" w:firstLine="560"/>
        <w:jc w:val="both"/>
        <w:rPr/>
      </w:pPr>
      <w:r>
        <w:rPr>
          <w:rFonts w:ascii="黑体" w:hAnsi="黑体" w:eastAsia="黑体" w:cs="黑体"/>
          <w:i w:val="false"/>
          <w:strike w:val="false"/>
          <w:color w:val="222222"/>
          <w:spacing w:val="0"/>
          <w:sz w:val="28"/>
          <w:u w:val="none"/>
        </w:rPr>
        <w:t>三、报名及选拔流程</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1.填写申请表</w:t>
      </w:r>
    </w:p>
    <w:p>
      <w:pPr>
        <w:snapToGrid/>
        <w:spacing w:before="0" w:after="0" w:line="500"/>
        <w:ind w:left="0" w:right="0" w:firstLine="560"/>
        <w:jc w:val="both"/>
        <w:rPr/>
      </w:pPr>
      <w:r>
        <w:rPr>
          <w:rFonts w:ascii="仿宋" w:hAnsi="仿宋" w:eastAsia="仿宋" w:cs="仿宋"/>
          <w:i w:val="false"/>
          <w:strike w:val="false"/>
          <w:color w:val="222222"/>
          <w:spacing w:val="0"/>
          <w:sz w:val="28"/>
          <w:u w:val="none"/>
        </w:rPr>
        <w:t>在本通知附件中下载“湖南科技大学资源环境与安全工程学院2024年大学生学术夏令营申请表”，如实填写相关信息（注：申请表可以打印，但须手写签名确认）。</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2.报名材料</w:t>
      </w:r>
    </w:p>
    <w:p>
      <w:pPr>
        <w:snapToGrid/>
        <w:spacing w:before="0" w:after="0" w:line="500"/>
        <w:ind w:left="0" w:right="0" w:firstLine="560"/>
        <w:jc w:val="both"/>
        <w:rPr/>
      </w:pPr>
      <w:r>
        <w:rPr>
          <w:rFonts w:ascii="仿宋" w:hAnsi="仿宋" w:eastAsia="仿宋" w:cs="仿宋"/>
          <w:i w:val="false"/>
          <w:strike w:val="false"/>
          <w:color w:val="222222"/>
          <w:spacing w:val="0"/>
          <w:sz w:val="28"/>
          <w:u w:val="none"/>
        </w:rPr>
        <w:t>①湖南科技大学xx学院2024年大学生学术夏令营申请表（须手写签名）；</w:t>
      </w:r>
    </w:p>
    <w:p>
      <w:pPr>
        <w:snapToGrid/>
        <w:spacing w:before="0" w:after="0" w:line="500"/>
        <w:ind w:left="0" w:right="0" w:firstLine="560"/>
        <w:jc w:val="both"/>
        <w:rPr/>
      </w:pPr>
      <w:r>
        <w:rPr>
          <w:rFonts w:ascii="仿宋" w:hAnsi="仿宋" w:eastAsia="仿宋" w:cs="仿宋"/>
          <w:i w:val="false"/>
          <w:strike w:val="false"/>
          <w:color w:val="222222"/>
          <w:spacing w:val="0"/>
          <w:sz w:val="28"/>
          <w:u w:val="none"/>
        </w:rPr>
        <w:t>②本科成绩单与总评成绩排名证明（由教务处盖章或学院盖章）各1份；</w:t>
      </w:r>
    </w:p>
    <w:p>
      <w:pPr>
        <w:snapToGrid/>
        <w:spacing w:before="0" w:after="0" w:line="500"/>
        <w:ind w:left="0" w:right="0" w:firstLine="560"/>
        <w:jc w:val="both"/>
        <w:rPr/>
      </w:pPr>
      <w:r>
        <w:rPr>
          <w:rFonts w:ascii="仿宋" w:hAnsi="仿宋" w:eastAsia="仿宋" w:cs="仿宋"/>
          <w:i w:val="false"/>
          <w:strike w:val="false"/>
          <w:color w:val="222222"/>
          <w:spacing w:val="0"/>
          <w:sz w:val="28"/>
          <w:u w:val="none"/>
        </w:rPr>
        <w:t>③个人简历1份；</w:t>
      </w:r>
    </w:p>
    <w:p>
      <w:pPr>
        <w:snapToGrid/>
        <w:spacing w:before="0" w:after="0" w:line="500"/>
        <w:ind w:left="0" w:right="0" w:firstLine="560"/>
        <w:jc w:val="both"/>
        <w:rPr/>
      </w:pPr>
      <w:r>
        <w:rPr>
          <w:rFonts w:ascii="仿宋" w:hAnsi="仿宋" w:eastAsia="仿宋" w:cs="仿宋"/>
          <w:i w:val="false"/>
          <w:strike w:val="false"/>
          <w:color w:val="222222"/>
          <w:spacing w:val="0"/>
          <w:sz w:val="28"/>
          <w:u w:val="none"/>
        </w:rPr>
        <w:t>④身份证（正反面）、学生证复印件；</w:t>
      </w:r>
    </w:p>
    <w:p>
      <w:pPr>
        <w:snapToGrid/>
        <w:spacing w:before="0" w:after="0" w:line="500"/>
        <w:ind w:left="0" w:right="0" w:firstLine="560"/>
        <w:jc w:val="both"/>
        <w:rPr/>
      </w:pPr>
      <w:r>
        <w:rPr>
          <w:rFonts w:ascii="仿宋" w:hAnsi="仿宋" w:eastAsia="仿宋" w:cs="仿宋"/>
          <w:i w:val="false"/>
          <w:strike w:val="false"/>
          <w:color w:val="222222"/>
          <w:spacing w:val="0"/>
          <w:sz w:val="28"/>
          <w:u w:val="none"/>
        </w:rPr>
        <w:t>⑤外语水平证明材料复印件（包括大学英语四、六级考试成绩单、TOEFL成绩单、GRE/GMAT成绩单、PETS5成绩单或其他语种的等级证书等）；</w:t>
      </w:r>
    </w:p>
    <w:p>
      <w:pPr>
        <w:snapToGrid/>
        <w:spacing w:before="0" w:after="0" w:line="500"/>
        <w:ind w:left="0" w:right="0" w:firstLine="560"/>
        <w:jc w:val="both"/>
        <w:rPr/>
      </w:pPr>
      <w:r>
        <w:rPr>
          <w:rFonts w:ascii="仿宋" w:hAnsi="仿宋" w:eastAsia="仿宋" w:cs="仿宋"/>
          <w:i w:val="false"/>
          <w:strike w:val="false"/>
          <w:color w:val="222222"/>
          <w:spacing w:val="0"/>
          <w:sz w:val="28"/>
          <w:u w:val="none"/>
        </w:rPr>
        <w:t>⑥其他证明材料（如获奖证书、学术论文等）。</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3.发送邮件报名</w:t>
      </w:r>
    </w:p>
    <w:p>
      <w:pPr>
        <w:snapToGrid/>
        <w:spacing w:before="0" w:after="0" w:line="500"/>
        <w:ind w:left="0" w:right="0" w:firstLine="560"/>
        <w:jc w:val="both"/>
        <w:rPr/>
      </w:pPr>
      <w:r>
        <w:rPr>
          <w:rFonts w:ascii="仿宋" w:hAnsi="仿宋" w:eastAsia="仿宋" w:cs="仿宋"/>
          <w:i w:val="false"/>
          <w:strike w:val="false"/>
          <w:color w:val="222222"/>
          <w:spacing w:val="0"/>
          <w:sz w:val="28"/>
          <w:u w:val="none"/>
        </w:rPr>
        <w:t>请于</w:t>
      </w:r>
      <w:r>
        <w:rPr>
          <w:rFonts w:ascii="仿宋" w:hAnsi="仿宋" w:eastAsia="仿宋" w:cs="仿宋"/>
          <w:b/>
          <w:i w:val="false"/>
          <w:strike w:val="false"/>
          <w:color w:val="222222"/>
          <w:spacing w:val="0"/>
          <w:sz w:val="28"/>
          <w:u w:val="none"/>
        </w:rPr>
        <w:t>2024年6月27日24:00前</w:t>
      </w:r>
      <w:r>
        <w:rPr>
          <w:rFonts w:ascii="仿宋" w:hAnsi="仿宋" w:eastAsia="仿宋" w:cs="仿宋"/>
          <w:i w:val="false"/>
          <w:strike w:val="false"/>
          <w:color w:val="222222"/>
          <w:spacing w:val="0"/>
          <w:sz w:val="28"/>
          <w:u w:val="none"/>
        </w:rPr>
        <w:t>将上述材料扫描电子档（PDF格式）发送至学院邮箱：</w:t>
      </w:r>
      <w:r>
        <w:rPr>
          <w:rFonts w:ascii="仿宋" w:hAnsi="仿宋" w:eastAsia="仿宋" w:cs="仿宋"/>
          <w:b/>
          <w:i w:val="false"/>
          <w:strike w:val="false"/>
          <w:color w:val="222222"/>
          <w:spacing w:val="0"/>
          <w:sz w:val="28"/>
          <w:u w:val="single"/>
        </w:rPr>
        <w:t>sllianzbsb@126.com</w:t>
      </w:r>
      <w:r>
        <w:rPr>
          <w:rFonts w:ascii="仿宋" w:hAnsi="仿宋" w:eastAsia="仿宋" w:cs="仿宋"/>
          <w:i w:val="false"/>
          <w:strike w:val="false"/>
          <w:color w:val="222222"/>
          <w:spacing w:val="0"/>
          <w:sz w:val="28"/>
          <w:u w:val="none"/>
        </w:rPr>
        <w:t>，（邮件主题标明“XX大学-XX院系-姓名-夏令营申请”，如：湖南工业大学-土木工程学院-张三-夏令营申请），逾期不再接收申请（</w:t>
      </w:r>
      <w:r>
        <w:rPr>
          <w:rFonts w:ascii="仿宋" w:hAnsi="仿宋" w:eastAsia="仿宋" w:cs="仿宋"/>
          <w:b/>
          <w:i w:val="false"/>
          <w:strike w:val="false"/>
          <w:color w:val="222222"/>
          <w:spacing w:val="0"/>
          <w:sz w:val="28"/>
          <w:u w:val="none"/>
        </w:rPr>
        <w:t>注：根据报名情况可提前结束报名</w:t>
      </w:r>
      <w:r>
        <w:rPr>
          <w:rFonts w:ascii="仿宋" w:hAnsi="仿宋" w:eastAsia="仿宋" w:cs="仿宋"/>
          <w:i w:val="false"/>
          <w:strike w:val="false"/>
          <w:color w:val="222222"/>
          <w:spacing w:val="0"/>
          <w:sz w:val="28"/>
          <w:u w:val="none"/>
        </w:rPr>
        <w:t>）。</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4.材料审核及营员选拔</w:t>
      </w:r>
    </w:p>
    <w:p>
      <w:pPr>
        <w:snapToGrid/>
        <w:spacing w:before="0" w:after="0" w:line="500"/>
        <w:ind w:left="0" w:right="0" w:firstLine="560"/>
        <w:jc w:val="both"/>
        <w:rPr/>
      </w:pPr>
      <w:r>
        <w:rPr>
          <w:rFonts w:ascii="仿宋" w:hAnsi="仿宋" w:eastAsia="仿宋" w:cs="仿宋"/>
          <w:i w:val="false"/>
          <w:strike w:val="false"/>
          <w:color w:val="222222"/>
          <w:spacing w:val="0"/>
          <w:sz w:val="28"/>
          <w:u w:val="none"/>
        </w:rPr>
        <w:t>学院将逐一审核申请人提供的各项材料，择优确定夏令营营员名单并报研究生院审核，最终审核通过的夏令营营员名单将于6月28日在学院官网公布（</w:t>
      </w:r>
      <w:r>
        <w:rPr>
          <w:rFonts w:ascii="仿宋" w:hAnsi="仿宋" w:eastAsia="仿宋" w:cs="仿宋"/>
          <w:b/>
          <w:i w:val="false"/>
          <w:strike w:val="false"/>
          <w:color w:val="222222"/>
          <w:spacing w:val="0"/>
          <w:sz w:val="28"/>
          <w:u w:val="none"/>
        </w:rPr>
        <w:t>注：如提前结束报名则提前公布</w:t>
      </w:r>
      <w:r>
        <w:rPr>
          <w:rFonts w:ascii="仿宋" w:hAnsi="仿宋" w:eastAsia="仿宋" w:cs="仿宋"/>
          <w:i w:val="false"/>
          <w:strike w:val="false"/>
          <w:color w:val="222222"/>
          <w:spacing w:val="0"/>
          <w:sz w:val="28"/>
          <w:u w:val="none"/>
        </w:rPr>
        <w:t>）。</w:t>
      </w:r>
    </w:p>
    <w:p>
      <w:pPr>
        <w:snapToGrid/>
        <w:spacing w:before="0" w:after="0" w:line="500"/>
        <w:ind w:left="0" w:right="0" w:firstLine="560"/>
        <w:jc w:val="both"/>
        <w:rPr/>
      </w:pPr>
      <w:r>
        <w:rPr>
          <w:rFonts w:ascii="黑体" w:hAnsi="黑体" w:eastAsia="黑体" w:cs="黑体"/>
          <w:i w:val="false"/>
          <w:strike w:val="false"/>
          <w:color w:val="222222"/>
          <w:spacing w:val="0"/>
          <w:sz w:val="28"/>
          <w:u w:val="none"/>
        </w:rPr>
        <w:t>四、活动安排</w:t>
      </w:r>
    </w:p>
    <w:p>
      <w:pPr>
        <w:snapToGrid/>
        <w:spacing w:before="0" w:after="0" w:line="500"/>
        <w:ind w:left="0" w:right="0" w:firstLine="560"/>
        <w:jc w:val="both"/>
        <w:rPr/>
      </w:pPr>
      <w:r>
        <w:rPr>
          <w:rFonts w:ascii="仿宋" w:hAnsi="仿宋" w:eastAsia="仿宋" w:cs="仿宋"/>
          <w:i w:val="false"/>
          <w:strike w:val="false"/>
          <w:color w:val="222222"/>
          <w:spacing w:val="0"/>
          <w:sz w:val="28"/>
          <w:u w:val="none"/>
        </w:rPr>
        <w:t>本次夏令营采取线下形式进行，具体安排包括：</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1.开营典礼：</w:t>
      </w:r>
      <w:r>
        <w:rPr>
          <w:rFonts w:ascii="仿宋" w:hAnsi="仿宋" w:eastAsia="仿宋" w:cs="仿宋"/>
          <w:i w:val="false"/>
          <w:strike w:val="false"/>
          <w:color w:val="222222"/>
          <w:spacing w:val="0"/>
          <w:sz w:val="28"/>
          <w:u w:val="none"/>
        </w:rPr>
        <w:t>由学校统一组织，主要包括学校学科学院介绍、学位与研究生教育招生专业及方向介绍等。</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2.讲座与交流：</w:t>
      </w:r>
      <w:r>
        <w:rPr>
          <w:rFonts w:ascii="仿宋" w:hAnsi="仿宋" w:eastAsia="仿宋" w:cs="仿宋"/>
          <w:i w:val="false"/>
          <w:strike w:val="false"/>
          <w:color w:val="222222"/>
          <w:spacing w:val="0"/>
          <w:sz w:val="28"/>
          <w:u w:val="none"/>
        </w:rPr>
        <w:t>专家讲座、师生互动、导师交流等。</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3.素质拓展：</w:t>
      </w:r>
      <w:r>
        <w:rPr>
          <w:rFonts w:ascii="仿宋" w:hAnsi="仿宋" w:eastAsia="仿宋" w:cs="仿宋"/>
          <w:i w:val="false"/>
          <w:strike w:val="false"/>
          <w:color w:val="222222"/>
          <w:spacing w:val="0"/>
          <w:sz w:val="28"/>
          <w:u w:val="none"/>
        </w:rPr>
        <w:t>户外团建、团队协作、沟通能力、学习能力提升等。</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4.结业与评优：</w:t>
      </w:r>
      <w:r>
        <w:rPr>
          <w:rFonts w:ascii="仿宋" w:hAnsi="仿宋" w:eastAsia="仿宋" w:cs="仿宋"/>
          <w:i w:val="false"/>
          <w:strike w:val="false"/>
          <w:color w:val="222222"/>
          <w:spacing w:val="0"/>
          <w:sz w:val="28"/>
          <w:u w:val="none"/>
        </w:rPr>
        <w:t>圆满完成夏令营活动者颁发结业证书；表现突出者评选优秀营员。</w:t>
      </w:r>
    </w:p>
    <w:p>
      <w:pPr>
        <w:snapToGrid/>
        <w:spacing w:before="0" w:after="0" w:line="500"/>
        <w:ind w:left="0" w:right="0" w:firstLine="560"/>
        <w:jc w:val="both"/>
        <w:rPr/>
      </w:pPr>
      <w:r>
        <w:rPr>
          <w:rFonts w:ascii="黑体" w:hAnsi="黑体" w:eastAsia="黑体" w:cs="黑体"/>
          <w:i w:val="false"/>
          <w:strike w:val="false"/>
          <w:color w:val="222222"/>
          <w:spacing w:val="0"/>
          <w:sz w:val="28"/>
          <w:u w:val="none"/>
        </w:rPr>
        <w:t>五、政策支持</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1.学习保障：</w:t>
      </w:r>
      <w:r>
        <w:rPr>
          <w:rFonts w:ascii="仿宋" w:hAnsi="仿宋" w:eastAsia="仿宋" w:cs="仿宋"/>
          <w:i w:val="false"/>
          <w:strike w:val="false"/>
          <w:color w:val="222222"/>
          <w:spacing w:val="0"/>
          <w:sz w:val="28"/>
          <w:u w:val="none"/>
        </w:rPr>
        <w:t>学院安排资深专业教师担任班主任，安排导师对接营员，安排成长辅导员。</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2.食宿安排：</w:t>
      </w:r>
      <w:r>
        <w:rPr>
          <w:rFonts w:ascii="仿宋" w:hAnsi="仿宋" w:eastAsia="仿宋" w:cs="仿宋"/>
          <w:i w:val="false"/>
          <w:strike w:val="false"/>
          <w:color w:val="222222"/>
          <w:spacing w:val="0"/>
          <w:sz w:val="28"/>
          <w:u w:val="none"/>
        </w:rPr>
        <w:t>学校为所有营员提供免费用餐（餐标：50元/天）；为所有校外营员提供免费住宿（双标或单间）；为所有营员免费提供统一着装（文化衫）。</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3.交通补助：</w:t>
      </w:r>
      <w:r>
        <w:rPr>
          <w:rFonts w:ascii="仿宋" w:hAnsi="仿宋" w:eastAsia="仿宋" w:cs="仿宋"/>
          <w:i w:val="false"/>
          <w:strike w:val="false"/>
          <w:color w:val="222222"/>
          <w:spacing w:val="0"/>
          <w:sz w:val="28"/>
          <w:u w:val="none"/>
        </w:rPr>
        <w:t>为鼓励校外高校大学生报名，对省外高校营员提供150元交通补助，对省内校外营员提供75元交通补助。</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4.安全保障：</w:t>
      </w:r>
      <w:r>
        <w:rPr>
          <w:rFonts w:ascii="仿宋" w:hAnsi="仿宋" w:eastAsia="仿宋" w:cs="仿宋"/>
          <w:i w:val="false"/>
          <w:strike w:val="false"/>
          <w:color w:val="222222"/>
          <w:spacing w:val="0"/>
          <w:sz w:val="28"/>
          <w:u w:val="none"/>
        </w:rPr>
        <w:t>为全体营员购买意外伤害保险。</w:t>
      </w:r>
    </w:p>
    <w:p>
      <w:pPr>
        <w:snapToGrid/>
        <w:spacing w:before="0" w:after="0" w:line="500"/>
        <w:ind w:left="0" w:right="0" w:firstLine="560"/>
        <w:jc w:val="both"/>
        <w:rPr/>
      </w:pPr>
      <w:r>
        <w:rPr>
          <w:rFonts w:ascii="仿宋" w:hAnsi="仿宋" w:eastAsia="仿宋" w:cs="仿宋"/>
          <w:b/>
          <w:i w:val="false"/>
          <w:strike w:val="false"/>
          <w:color w:val="222222"/>
          <w:spacing w:val="0"/>
          <w:sz w:val="28"/>
          <w:u w:val="none"/>
        </w:rPr>
        <w:t>5.录取优惠：</w:t>
      </w:r>
      <w:r>
        <w:rPr>
          <w:rFonts w:ascii="仿宋" w:hAnsi="仿宋" w:eastAsia="仿宋" w:cs="仿宋"/>
          <w:i w:val="false"/>
          <w:strike w:val="false"/>
          <w:color w:val="222222"/>
          <w:spacing w:val="0"/>
          <w:sz w:val="28"/>
          <w:u w:val="none"/>
        </w:rPr>
        <w:t>对于取得推免资格的优秀营员在同等条件下可优先获得我校2025年推免生拟录取资格；对于未取得推免资格的优秀营员，报名参加2025年全国硕士研究生招生考试、第一志愿报考我校且初试成绩达到报考专业复试分数线的，同等条件下优先录取。</w:t>
      </w:r>
    </w:p>
    <w:p>
      <w:pPr>
        <w:snapToGrid/>
        <w:spacing w:before="0" w:after="0" w:line="500"/>
        <w:ind w:left="0" w:right="0" w:firstLine="560"/>
        <w:jc w:val="both"/>
        <w:rPr/>
      </w:pPr>
      <w:r>
        <w:rPr>
          <w:rFonts w:ascii="黑体" w:hAnsi="黑体" w:eastAsia="黑体" w:cs="黑体"/>
          <w:i w:val="false"/>
          <w:strike w:val="false"/>
          <w:color w:val="222222"/>
          <w:spacing w:val="0"/>
          <w:sz w:val="28"/>
          <w:u w:val="none"/>
        </w:rPr>
        <w:t>六、联系方式</w:t>
      </w:r>
    </w:p>
    <w:p>
      <w:pPr>
        <w:snapToGrid/>
        <w:spacing w:before="0" w:after="0" w:line="500"/>
        <w:ind w:left="0" w:right="0" w:firstLine="560"/>
        <w:jc w:val="both"/>
        <w:rPr/>
      </w:pPr>
      <w:r>
        <w:rPr>
          <w:rFonts w:ascii="仿宋" w:hAnsi="仿宋" w:eastAsia="仿宋" w:cs="仿宋"/>
          <w:i w:val="false"/>
          <w:strike w:val="false"/>
          <w:color w:val="222222"/>
          <w:spacing w:val="0"/>
          <w:sz w:val="28"/>
          <w:u w:val="none"/>
        </w:rPr>
        <w:t>交流QQ群：</w:t>
      </w:r>
      <w:r>
        <w:rPr>
          <w:rFonts w:ascii="仿宋" w:hAnsi="仿宋" w:eastAsia="仿宋" w:cs="仿宋"/>
          <w:i w:val="false"/>
          <w:strike w:val="false"/>
          <w:color w:val="222222"/>
          <w:spacing w:val="0"/>
          <w:sz w:val="28"/>
          <w:u w:val="single"/>
        </w:rPr>
        <w:t>974984871；</w:t>
      </w:r>
      <w:r>
        <w:rPr>
          <w:rFonts w:ascii="仿宋" w:hAnsi="仿宋" w:eastAsia="仿宋" w:cs="仿宋"/>
          <w:i w:val="false"/>
          <w:strike w:val="false"/>
          <w:color w:val="222222"/>
          <w:spacing w:val="0"/>
          <w:sz w:val="28"/>
          <w:u w:val="none"/>
        </w:rPr>
        <w:t>请实名（格式：“XX大学-XX院系-姓名”，如：湖南工业大学-土木工程学院-张三）加入“资安学院2024年学术夏令营”QQ群。</w:t>
      </w:r>
    </w:p>
    <w:p>
      <w:pPr>
        <w:snapToGrid/>
        <w:spacing w:before="0" w:after="0" w:line="500"/>
        <w:ind w:left="0" w:right="0" w:firstLine="560"/>
        <w:jc w:val="both"/>
        <w:rPr/>
      </w:pPr>
      <w:r>
        <w:rPr>
          <w:rFonts w:ascii="仿宋" w:hAnsi="仿宋" w:eastAsia="仿宋" w:cs="仿宋"/>
          <w:i w:val="false"/>
          <w:strike w:val="false"/>
          <w:color w:val="222222"/>
          <w:spacing w:val="0"/>
          <w:sz w:val="28"/>
          <w:u w:val="none"/>
        </w:rPr>
        <w:t>通讯地址：湖南省湘潭市雨湖区湖南科技大学资安学院资安一号楼303室</w:t>
      </w:r>
    </w:p>
    <w:p>
      <w:pPr>
        <w:snapToGrid/>
        <w:spacing w:before="0" w:after="0" w:line="500"/>
        <w:ind w:left="0" w:right="0" w:firstLine="560"/>
        <w:jc w:val="both"/>
        <w:rPr/>
      </w:pPr>
      <w:r>
        <w:rPr>
          <w:rFonts w:ascii="仿宋" w:hAnsi="仿宋" w:eastAsia="仿宋" w:cs="仿宋"/>
          <w:i w:val="false"/>
          <w:strike w:val="false"/>
          <w:color w:val="222222"/>
          <w:spacing w:val="0"/>
          <w:sz w:val="28"/>
          <w:u w:val="none"/>
        </w:rPr>
        <w:t>邮 编：411201</w:t>
      </w:r>
    </w:p>
    <w:p>
      <w:pPr>
        <w:snapToGrid/>
        <w:spacing w:before="0" w:after="0" w:line="500"/>
        <w:ind w:left="0" w:right="0" w:firstLine="560"/>
        <w:jc w:val="both"/>
        <w:rPr/>
      </w:pPr>
      <w:r>
        <w:rPr>
          <w:rFonts w:ascii="仿宋" w:hAnsi="仿宋" w:eastAsia="仿宋" w:cs="仿宋"/>
          <w:i w:val="false"/>
          <w:strike w:val="false"/>
          <w:color w:val="222222"/>
          <w:spacing w:val="0"/>
          <w:sz w:val="28"/>
          <w:u w:val="none"/>
        </w:rPr>
        <w:t>电 话：0731-58290181</w:t>
      </w:r>
    </w:p>
    <w:p>
      <w:pPr>
        <w:snapToGrid/>
        <w:spacing w:before="0" w:after="0" w:line="500"/>
        <w:ind w:left="0" w:right="0" w:firstLine="560"/>
        <w:jc w:val="both"/>
        <w:rPr/>
      </w:pPr>
      <w:r>
        <w:rPr>
          <w:rFonts w:ascii="仿宋" w:hAnsi="仿宋" w:eastAsia="仿宋" w:cs="仿宋"/>
          <w:i w:val="false"/>
          <w:strike w:val="false"/>
          <w:color w:val="222222"/>
          <w:spacing w:val="0"/>
          <w:sz w:val="28"/>
          <w:u w:val="none"/>
        </w:rPr>
        <w:t>联系人：吴老师</w:t>
      </w:r>
    </w:p>
    <w:p>
      <w:pPr>
        <w:snapToGrid/>
        <w:spacing w:before="0" w:after="0" w:line="500"/>
        <w:ind w:left="0" w:right="0" w:firstLine="560"/>
        <w:jc w:val="right"/>
        <w:rPr/>
      </w:pPr>
      <w:r>
        <w:rPr>
          <w:rFonts w:ascii="仿宋" w:hAnsi="仿宋" w:eastAsia="仿宋" w:cs="仿宋"/>
          <w:i w:val="false"/>
          <w:strike w:val="false"/>
          <w:color w:val="222222"/>
          <w:spacing w:val="0"/>
          <w:sz w:val="28"/>
          <w:u w:val="none"/>
        </w:rPr>
        <w:t>湖南科技大学资源环境与安全工程学院</w:t>
      </w:r>
    </w:p>
    <w:p>
      <w:pPr>
        <w:snapToGrid/>
        <w:spacing w:before="0" w:after="120" w:line="437"/>
        <w:ind w:left="0" w:right="0" w:hanging="0"/>
        <w:jc w:val="right"/>
        <w:rPr/>
      </w:pPr>
      <w:r>
        <w:rPr>
          <w:rFonts w:ascii="仿宋" w:hAnsi="仿宋" w:eastAsia="仿宋" w:cs="仿宋"/>
          <w:i w:val="false"/>
          <w:strike w:val="false"/>
          <w:color w:val="222222"/>
          <w:spacing w:val="0"/>
          <w:sz w:val="28"/>
          <w:u w:val="none"/>
        </w:rPr>
        <w:t>2024年6月18日</w:t>
      </w:r>
    </w:p>
    <w:p>
      <w:pPr>
        <w:snapToGrid/>
        <w:spacing w:before="0" w:after="120" w:line="437"/>
        <w:ind w:left="0" w:right="0" w:hanging="0"/>
        <w:jc w:val="both"/>
        <w:rPr/>
      </w:pPr>
      <w:r>
        <w:rPr>
          <w:rFonts w:ascii="仿宋" w:hAnsi="仿宋" w:eastAsia="仿宋" w:cs="仿宋"/>
          <w:i w:val="false"/>
          <w:strike w:val="false"/>
          <w:color w:val="222222"/>
          <w:spacing w:val="0"/>
          <w:sz w:val="28"/>
          <w:u w:val="none"/>
        </w:rPr>
        <w:t>附件：湖南科技大学资源环境与安全工程学院2024年大学生学术夏令营申请表</w:t>
      </w:r>
    </w:p>
    <w:p>
      <w:pPr>
        <w:snapToGrid/>
        <w:spacing w:line="240"/>
        <w:ind w:hanging="0"/>
        <w:jc w:val="left"/>
        <w:rPr/>
      </w:pPr>
    </w:p>
    <w:p>
      <w:pPr>
        <w:snapToGrid/>
        <w:spacing w:line="240"/>
        <w:ind w:hanging="0"/>
        <w:jc w:val="left"/>
        <w:rPr/>
      </w:pPr>
      <w:r>
        <w:rPr>
          <w:rFonts w:ascii="å¾®è½¯é›…é»‘" w:hAnsi="å¾®è½¯é›…é»‘" w:cs="å¾®è½¯é›…é»‘"/>
          <w:i w:val="false"/>
          <w:strike w:val="false"/>
          <w:color w:val="222222"/>
          <w:spacing w:val="0"/>
          <w:sz w:val="24"/>
          <w:u w:val="none"/>
          <w:shd w:val="clear" w:color="auto" w:fill="FFFFFF"/>
        </w:rPr>
        <w:t>见附件：</w:t>
      </w:r>
      <w:r>
        <w:rPr/>
        <w:fldChar w:fldCharType="begin"/>
      </w:r>
      <w:r>
        <w:rPr/>
        <w:instrText>HYPERLINK https://zaxy.hnust.edu.cn//docs//2024-06/01c6fe9500214de18b71a68978421a10.doc normalLink \tdft \tdfe -10 \tdfid \tddp \tdop \tdlt inline \tdds \tdfvi \tdlf \l \tdsub normalLink \tdkey p1ecoi \tdkey p1ecoi</w:instrText>
      </w:r>
      <w:r>
        <w:rPr/>
        <w:fldChar w:fldCharType="separate"/>
      </w:r>
      <w:r>
        <w:rPr>
          <w:rStyle w:val="000016"/>
          <w:color/>
        </w:rPr>
        <w:t>湖南科技大学资源环境与安全工程学院2024年大学生学术夏令营申请表</w:t>
      </w:r>
      <w:r>
        <w:rPr/>
        <w:fldChar w:fldCharType="end"/>
      </w:r>
    </w:p>
    <w:p>
      <w:pPr>
        <w:snapToGrid/>
        <w:spacing w:line="240"/>
        <w:ind w:hanging="0"/>
        <w:rPr/>
      </w:pPr>
    </w:p>
    <w:p>
      <w:pPr>
        <w:snapToGrid/>
        <w:spacing w:line="240"/>
        <w:ind/>
        <w:rPr/>
      </w:pPr>
    </w:p>
    <w:p>
      <w:pPr>
        <w:pStyle w:val="000003"/>
        <w:snapToGrid/>
        <w:spacing w:before="225" w:after="0" w:line="240"/>
        <w:ind w:left="0" w:right="0" w:hanging="0"/>
        <w:jc w:val="center"/>
        <w:rPr/>
      </w:pPr>
      <w:r>
        <w:rPr>
          <w:rFonts w:ascii="微软雅黑" w:hAnsi="微软雅黑" w:cs="微软雅黑"/>
          <w:i w:val="false"/>
          <w:strike w:val="false"/>
          <w:color w:val="333333"/>
          <w:spacing w:val="0"/>
          <w:sz w:val="33"/>
          <w:u w:val="none"/>
        </w:rPr>
        <w:t>湖南科技大学土木工程学院关于举办“2024年大学生学术夏令营”的通知</w:t>
      </w:r>
    </w:p>
    <w:p>
      <w:pPr>
        <w:snapToGrid/>
        <w:spacing w:line="240"/>
        <w:ind w:firstLine="640"/>
        <w:rPr/>
      </w:pPr>
      <w:r>
        <w:rPr>
          <w:rFonts w:ascii="微软雅黑" w:hAnsi="微软雅黑" w:cs="微软雅黑"/>
          <w:i w:val="false"/>
          <w:strike w:val="false"/>
          <w:color w:val="323232"/>
          <w:spacing w:val="0"/>
          <w:sz w:val="24"/>
          <w:u w:val="none"/>
        </w:rPr>
        <w:t>为进一步促进各高校优秀大学生之间的学术交流，增进学生对我院学科和专业的了解，不断优化硕士研究生生源结构、提高生源质量，我院特决定举办“2024年大学生学术夏令营”。现将有关事项通知如下：</w:t>
      </w:r>
    </w:p>
    <w:p>
      <w:pPr>
        <w:snapToGrid/>
        <w:spacing w:line="432"/>
        <w:ind w:firstLine="640"/>
        <w:rPr/>
      </w:pPr>
      <w:r>
        <w:rPr>
          <w:rFonts w:ascii="微软雅黑" w:hAnsi="微软雅黑" w:cs="微软雅黑"/>
          <w:b/>
          <w:i w:val="false"/>
          <w:strike w:val="false"/>
          <w:color w:val="323232"/>
          <w:spacing w:val="0"/>
          <w:sz w:val="24"/>
          <w:u w:val="none"/>
        </w:rPr>
        <w:t>一、工作安排</w:t>
      </w:r>
    </w:p>
    <w:p>
      <w:pPr>
        <w:snapToGrid/>
        <w:spacing w:line="432"/>
        <w:ind w:firstLine="640"/>
        <w:rPr/>
      </w:pPr>
      <w:r>
        <w:rPr>
          <w:rFonts w:ascii="微软雅黑" w:hAnsi="微软雅黑" w:cs="微软雅黑"/>
          <w:i w:val="false"/>
          <w:strike w:val="false"/>
          <w:color w:val="323232"/>
          <w:spacing w:val="0"/>
          <w:sz w:val="24"/>
          <w:u w:val="none"/>
        </w:rPr>
        <w:t>营员规模：60人左右</w:t>
      </w:r>
    </w:p>
    <w:p>
      <w:pPr>
        <w:snapToGrid/>
        <w:spacing w:line="432"/>
        <w:ind w:firstLine="640"/>
        <w:rPr/>
      </w:pPr>
      <w:r>
        <w:rPr>
          <w:rFonts w:ascii="微软雅黑" w:hAnsi="微软雅黑" w:cs="微软雅黑"/>
          <w:i w:val="false"/>
          <w:strike w:val="false"/>
          <w:color w:val="323232"/>
          <w:spacing w:val="0"/>
          <w:sz w:val="24"/>
          <w:u w:val="none"/>
        </w:rPr>
        <w:t>营员报名：2024年6月18-27日（6月27日24:00截止，学院根据报名情况可提前结束报名）</w:t>
      </w:r>
    </w:p>
    <w:p>
      <w:pPr>
        <w:snapToGrid/>
        <w:spacing w:line="432"/>
        <w:ind w:firstLine="640"/>
        <w:rPr/>
      </w:pPr>
      <w:r>
        <w:rPr>
          <w:rFonts w:ascii="微软雅黑" w:hAnsi="微软雅黑" w:cs="微软雅黑"/>
          <w:i w:val="false"/>
          <w:strike w:val="false"/>
          <w:color w:val="323232"/>
          <w:spacing w:val="0"/>
          <w:sz w:val="24"/>
          <w:u w:val="none"/>
        </w:rPr>
        <w:t>营员选拔：将根据申请人的学习成绩、综合素养等条件综合择优遴选，夏令营营员名单将于6月28日在我院官网上公布。（注：如提前结束报名则提前公布）</w:t>
      </w:r>
    </w:p>
    <w:p>
      <w:pPr>
        <w:snapToGrid/>
        <w:spacing w:line="432"/>
        <w:ind w:firstLine="640"/>
        <w:rPr/>
      </w:pPr>
      <w:r>
        <w:rPr>
          <w:rFonts w:ascii="微软雅黑" w:hAnsi="微软雅黑" w:cs="微软雅黑"/>
          <w:i w:val="false"/>
          <w:strike w:val="false"/>
          <w:color w:val="323232"/>
          <w:spacing w:val="0"/>
          <w:sz w:val="24"/>
          <w:u w:val="none"/>
        </w:rPr>
        <w:t>夏令营开营：2024年7月8-10日</w:t>
      </w:r>
    </w:p>
    <w:p>
      <w:pPr>
        <w:snapToGrid/>
        <w:spacing w:line="432"/>
        <w:ind w:firstLine="640"/>
        <w:rPr/>
      </w:pPr>
      <w:r>
        <w:rPr>
          <w:rFonts w:ascii="微软雅黑" w:hAnsi="微软雅黑" w:cs="微软雅黑"/>
          <w:b/>
          <w:i w:val="false"/>
          <w:strike w:val="false"/>
          <w:color w:val="323232"/>
          <w:spacing w:val="0"/>
          <w:sz w:val="24"/>
          <w:u w:val="none"/>
        </w:rPr>
        <w:t>二、申请条件</w:t>
      </w:r>
    </w:p>
    <w:p>
      <w:pPr>
        <w:snapToGrid/>
        <w:spacing w:line="432"/>
        <w:ind w:firstLine="640"/>
        <w:rPr/>
      </w:pPr>
      <w:r>
        <w:rPr>
          <w:rFonts w:ascii="微软雅黑" w:hAnsi="微软雅黑" w:cs="微软雅黑"/>
          <w:i w:val="false"/>
          <w:strike w:val="false"/>
          <w:color w:val="323232"/>
          <w:spacing w:val="0"/>
          <w:sz w:val="24"/>
          <w:u w:val="none"/>
        </w:rPr>
        <w:t>1.政治素养：具有良好的政治素质和思想道德素养，政治立场坚定，德智体美劳全面发展，遵纪守法，身心健康。</w:t>
      </w:r>
    </w:p>
    <w:p>
      <w:pPr>
        <w:snapToGrid/>
        <w:spacing w:line="432"/>
        <w:ind w:firstLine="640"/>
        <w:rPr/>
      </w:pPr>
      <w:r>
        <w:rPr>
          <w:rFonts w:ascii="微软雅黑" w:hAnsi="微软雅黑" w:cs="微软雅黑"/>
          <w:i w:val="false"/>
          <w:strike w:val="false"/>
          <w:color w:val="323232"/>
          <w:spacing w:val="0"/>
          <w:sz w:val="24"/>
          <w:u w:val="none"/>
        </w:rPr>
        <w:t>2.外语水平：具有较好的外语听、说、读、写能力。</w:t>
      </w:r>
    </w:p>
    <w:p>
      <w:pPr>
        <w:snapToGrid/>
        <w:spacing w:line="432"/>
        <w:ind w:firstLine="640"/>
        <w:rPr/>
      </w:pPr>
      <w:r>
        <w:rPr>
          <w:rFonts w:ascii="微软雅黑" w:hAnsi="微软雅黑" w:cs="微软雅黑"/>
          <w:i w:val="false"/>
          <w:strike w:val="false"/>
          <w:color w:val="323232"/>
          <w:spacing w:val="0"/>
          <w:sz w:val="24"/>
          <w:u w:val="none"/>
        </w:rPr>
        <w:t>3.综合素养：有较好的专业理论基础和良好的科研潜力。</w:t>
      </w:r>
    </w:p>
    <w:p>
      <w:pPr>
        <w:snapToGrid/>
        <w:spacing w:line="432"/>
        <w:ind w:firstLine="640"/>
        <w:rPr/>
      </w:pPr>
      <w:r>
        <w:rPr>
          <w:rFonts w:ascii="微软雅黑" w:hAnsi="微软雅黑" w:cs="微软雅黑"/>
          <w:b/>
          <w:i w:val="false"/>
          <w:strike w:val="false"/>
          <w:color w:val="323232"/>
          <w:spacing w:val="0"/>
          <w:sz w:val="24"/>
          <w:u w:val="none"/>
        </w:rPr>
        <w:t>三、报名及选拔流程</w:t>
      </w:r>
    </w:p>
    <w:p>
      <w:pPr>
        <w:snapToGrid/>
        <w:spacing w:line="432"/>
        <w:ind w:firstLine="640"/>
        <w:rPr/>
      </w:pPr>
      <w:r>
        <w:rPr>
          <w:rFonts w:ascii="微软雅黑" w:hAnsi="微软雅黑" w:cs="微软雅黑"/>
          <w:i w:val="false"/>
          <w:strike w:val="false"/>
          <w:color w:val="323232"/>
          <w:spacing w:val="0"/>
          <w:sz w:val="24"/>
          <w:u w:val="none"/>
        </w:rPr>
        <w:t>1.填写申请表</w:t>
      </w:r>
    </w:p>
    <w:p>
      <w:pPr>
        <w:snapToGrid/>
        <w:spacing w:line="432"/>
        <w:ind w:firstLine="640"/>
        <w:rPr/>
      </w:pPr>
      <w:r>
        <w:rPr>
          <w:rFonts w:ascii="微软雅黑" w:hAnsi="微软雅黑" w:cs="微软雅黑"/>
          <w:i w:val="false"/>
          <w:strike w:val="false"/>
          <w:color w:val="323232"/>
          <w:spacing w:val="0"/>
          <w:sz w:val="24"/>
          <w:u w:val="none"/>
        </w:rPr>
        <w:t>在本通知附件中下载“湖南科技大学土木工程学院2024年大学生学术夏令营申请表”，如实填写相关信息（注：申请表可以打印，但须手写签名确认）。</w:t>
      </w:r>
    </w:p>
    <w:p>
      <w:pPr>
        <w:snapToGrid/>
        <w:spacing w:line="432"/>
        <w:ind w:firstLine="640"/>
        <w:rPr/>
      </w:pPr>
      <w:r>
        <w:rPr>
          <w:rFonts w:ascii="微软雅黑" w:hAnsi="微软雅黑" w:cs="微软雅黑"/>
          <w:i w:val="false"/>
          <w:strike w:val="false"/>
          <w:color w:val="323232"/>
          <w:spacing w:val="0"/>
          <w:sz w:val="24"/>
          <w:u w:val="none"/>
        </w:rPr>
        <w:t>2.报名材料</w:t>
      </w:r>
    </w:p>
    <w:p>
      <w:pPr>
        <w:snapToGrid/>
        <w:spacing w:line="432"/>
        <w:ind w:firstLine="640"/>
        <w:rPr/>
      </w:pPr>
      <w:r>
        <w:rPr>
          <w:rFonts w:ascii="微软雅黑" w:hAnsi="微软雅黑" w:cs="微软雅黑"/>
          <w:i w:val="false"/>
          <w:strike w:val="false"/>
          <w:color w:val="323232"/>
          <w:spacing w:val="0"/>
          <w:sz w:val="24"/>
          <w:u w:val="none"/>
        </w:rPr>
        <w:t>①湖南科技大学土木工程学院2024年大学生学术夏令营申请表（须手写签名）；</w:t>
      </w:r>
    </w:p>
    <w:p>
      <w:pPr>
        <w:snapToGrid/>
        <w:spacing w:line="432"/>
        <w:ind w:firstLine="640"/>
        <w:rPr/>
      </w:pPr>
      <w:r>
        <w:rPr>
          <w:rFonts w:ascii="微软雅黑" w:hAnsi="微软雅黑" w:cs="微软雅黑"/>
          <w:i w:val="false"/>
          <w:strike w:val="false"/>
          <w:color w:val="323232"/>
          <w:spacing w:val="0"/>
          <w:sz w:val="24"/>
          <w:u w:val="none"/>
        </w:rPr>
        <w:t>②本科成绩单与总评成绩排名证明（由教务处盖章或学院盖章）各1份；</w:t>
      </w:r>
    </w:p>
    <w:p>
      <w:pPr>
        <w:snapToGrid/>
        <w:spacing w:line="432"/>
        <w:ind w:firstLine="640"/>
        <w:rPr/>
      </w:pPr>
      <w:r>
        <w:rPr>
          <w:rFonts w:ascii="微软雅黑" w:hAnsi="微软雅黑" w:cs="微软雅黑"/>
          <w:i w:val="false"/>
          <w:strike w:val="false"/>
          <w:color w:val="323232"/>
          <w:spacing w:val="0"/>
          <w:sz w:val="24"/>
          <w:u w:val="none"/>
        </w:rPr>
        <w:t>③个人简历1份；</w:t>
      </w:r>
    </w:p>
    <w:p>
      <w:pPr>
        <w:snapToGrid/>
        <w:spacing w:line="432"/>
        <w:ind w:firstLine="640"/>
        <w:rPr/>
      </w:pPr>
      <w:r>
        <w:rPr>
          <w:rFonts w:ascii="微软雅黑" w:hAnsi="微软雅黑" w:cs="微软雅黑"/>
          <w:i w:val="false"/>
          <w:strike w:val="false"/>
          <w:color w:val="323232"/>
          <w:spacing w:val="0"/>
          <w:sz w:val="24"/>
          <w:u w:val="none"/>
        </w:rPr>
        <w:t>④身份证（正反面）、学生证复印件；</w:t>
      </w:r>
    </w:p>
    <w:p>
      <w:pPr>
        <w:snapToGrid/>
        <w:spacing w:line="432"/>
        <w:ind w:firstLine="640"/>
        <w:rPr/>
      </w:pPr>
      <w:r>
        <w:rPr>
          <w:rFonts w:ascii="微软雅黑" w:hAnsi="微软雅黑" w:cs="微软雅黑"/>
          <w:i w:val="false"/>
          <w:strike w:val="false"/>
          <w:color w:val="323232"/>
          <w:spacing w:val="0"/>
          <w:sz w:val="24"/>
          <w:u w:val="none"/>
        </w:rPr>
        <w:t>⑤外语水平证明材料复印件（包括大学英语四、六级考试成绩单、TOEFL成绩单、GRE/GMAT成绩单、PETS5成绩单或其他语种的等级证书等）；</w:t>
      </w:r>
    </w:p>
    <w:p>
      <w:pPr>
        <w:snapToGrid/>
        <w:spacing w:line="432"/>
        <w:ind w:firstLine="640"/>
        <w:rPr/>
      </w:pPr>
      <w:r>
        <w:rPr>
          <w:rFonts w:ascii="微软雅黑" w:hAnsi="微软雅黑" w:cs="微软雅黑"/>
          <w:i w:val="false"/>
          <w:strike w:val="false"/>
          <w:color w:val="323232"/>
          <w:spacing w:val="0"/>
          <w:sz w:val="24"/>
          <w:u w:val="none"/>
        </w:rPr>
        <w:t>⑥其他证明材料（如获奖证书、学术论文等）。</w:t>
      </w:r>
    </w:p>
    <w:p>
      <w:pPr>
        <w:snapToGrid/>
        <w:spacing w:line="432"/>
        <w:ind w:firstLine="640"/>
        <w:rPr/>
      </w:pPr>
      <w:r>
        <w:rPr>
          <w:rFonts w:ascii="微软雅黑" w:hAnsi="微软雅黑" w:cs="微软雅黑"/>
          <w:i w:val="false"/>
          <w:strike w:val="false"/>
          <w:color w:val="323232"/>
          <w:spacing w:val="0"/>
          <w:sz w:val="24"/>
          <w:u w:val="none"/>
        </w:rPr>
        <w:t>3.发送邮件报名</w:t>
      </w:r>
    </w:p>
    <w:p>
      <w:pPr>
        <w:snapToGrid/>
        <w:spacing w:line="432"/>
        <w:ind w:firstLine="640"/>
        <w:rPr/>
      </w:pPr>
      <w:r>
        <w:rPr>
          <w:rFonts w:ascii="微软雅黑" w:hAnsi="微软雅黑" w:cs="微软雅黑"/>
          <w:i w:val="false"/>
          <w:strike w:val="false"/>
          <w:color w:val="323232"/>
          <w:spacing w:val="0"/>
          <w:sz w:val="24"/>
          <w:u w:val="none"/>
        </w:rPr>
        <w:t>请于2024年6月27日24:00前将上述材料扫描电子档（PDF格式）发送至学院邮箱： 2755531068@qq.com，（邮件主题标明“XX大学-XX院系-姓名-夏令营申请”，如：湖南工业大学-土木工程学院-张三-夏令营申请），逾期不再接收申请（注：根据报名情况可提前结束报名）。</w:t>
      </w:r>
    </w:p>
    <w:p>
      <w:pPr>
        <w:snapToGrid/>
        <w:spacing w:line="432"/>
        <w:ind w:firstLine="640"/>
        <w:rPr/>
      </w:pPr>
      <w:r>
        <w:rPr>
          <w:rFonts w:ascii="微软雅黑" w:hAnsi="微软雅黑" w:cs="微软雅黑"/>
          <w:i w:val="false"/>
          <w:strike w:val="false"/>
          <w:color w:val="323232"/>
          <w:spacing w:val="0"/>
          <w:sz w:val="24"/>
          <w:u w:val="none"/>
        </w:rPr>
        <w:t>4.材料审核及营员选拔</w:t>
      </w:r>
    </w:p>
    <w:p>
      <w:pPr>
        <w:snapToGrid/>
        <w:spacing w:line="432"/>
        <w:ind w:firstLine="640"/>
        <w:rPr/>
      </w:pPr>
      <w:r>
        <w:rPr>
          <w:rFonts w:ascii="微软雅黑" w:hAnsi="微软雅黑" w:cs="微软雅黑"/>
          <w:i w:val="false"/>
          <w:strike w:val="false"/>
          <w:color w:val="323232"/>
          <w:spacing w:val="0"/>
          <w:sz w:val="24"/>
          <w:u w:val="none"/>
        </w:rPr>
        <w:t>学院将逐一审核申请人提供的各项材料，择优确定夏令营营员名单并报研究生院审核，最终审核通过的夏令营营员名单将于6月28日在学院官网公布。（注：如提前结束报名则提前公布）</w:t>
      </w:r>
    </w:p>
    <w:p>
      <w:pPr>
        <w:snapToGrid/>
        <w:spacing w:line="432"/>
        <w:ind w:firstLine="640"/>
        <w:rPr/>
      </w:pPr>
      <w:r>
        <w:rPr>
          <w:rFonts w:ascii="微软雅黑" w:hAnsi="微软雅黑" w:cs="微软雅黑"/>
          <w:b/>
          <w:i w:val="false"/>
          <w:strike w:val="false"/>
          <w:color w:val="323232"/>
          <w:spacing w:val="0"/>
          <w:sz w:val="24"/>
          <w:u w:val="none"/>
        </w:rPr>
        <w:t>四、活动安排</w:t>
      </w:r>
    </w:p>
    <w:p>
      <w:pPr>
        <w:snapToGrid/>
        <w:spacing w:line="432"/>
        <w:ind w:firstLine="640"/>
        <w:rPr/>
      </w:pPr>
      <w:r>
        <w:rPr>
          <w:rFonts w:ascii="微软雅黑" w:hAnsi="微软雅黑" w:cs="微软雅黑"/>
          <w:i w:val="false"/>
          <w:strike w:val="false"/>
          <w:color w:val="323232"/>
          <w:spacing w:val="0"/>
          <w:sz w:val="24"/>
          <w:u w:val="none"/>
        </w:rPr>
        <w:t>本次夏令营采取线下形式进行，具体安排包括：</w:t>
      </w:r>
    </w:p>
    <w:p>
      <w:pPr>
        <w:snapToGrid/>
        <w:spacing w:line="432"/>
        <w:ind w:firstLine="640"/>
        <w:rPr/>
      </w:pPr>
      <w:r>
        <w:rPr>
          <w:rFonts w:ascii="微软雅黑" w:hAnsi="微软雅黑" w:cs="微软雅黑"/>
          <w:i w:val="false"/>
          <w:strike w:val="false"/>
          <w:color w:val="323232"/>
          <w:spacing w:val="0"/>
          <w:sz w:val="24"/>
          <w:u w:val="none"/>
        </w:rPr>
        <w:t>1.开营典礼：由学校统一组织，主要包括学校学科学院介绍、学位与研究生教育招生专业及方向介绍等。</w:t>
      </w:r>
    </w:p>
    <w:p>
      <w:pPr>
        <w:snapToGrid/>
        <w:spacing w:line="432"/>
        <w:ind w:firstLine="640"/>
        <w:rPr/>
      </w:pPr>
      <w:r>
        <w:rPr>
          <w:rFonts w:ascii="微软雅黑" w:hAnsi="微软雅黑" w:cs="微软雅黑"/>
          <w:i w:val="false"/>
          <w:strike w:val="false"/>
          <w:color w:val="323232"/>
          <w:spacing w:val="0"/>
          <w:sz w:val="24"/>
          <w:u w:val="none"/>
        </w:rPr>
        <w:t>2.讲座与交流：专家讲座、师生互动、导师交流等。</w:t>
      </w:r>
    </w:p>
    <w:p>
      <w:pPr>
        <w:snapToGrid/>
        <w:spacing w:line="432"/>
        <w:ind w:firstLine="640"/>
        <w:rPr/>
      </w:pPr>
      <w:r>
        <w:rPr>
          <w:rFonts w:ascii="微软雅黑" w:hAnsi="微软雅黑" w:cs="微软雅黑"/>
          <w:i w:val="false"/>
          <w:strike w:val="false"/>
          <w:color w:val="323232"/>
          <w:spacing w:val="0"/>
          <w:sz w:val="24"/>
          <w:u w:val="none"/>
        </w:rPr>
        <w:t>3.素质拓展：户外团建、团队协作、沟通能力、学习能力提升等。</w:t>
      </w:r>
    </w:p>
    <w:p>
      <w:pPr>
        <w:snapToGrid/>
        <w:spacing w:line="432"/>
        <w:ind w:firstLine="640"/>
        <w:rPr/>
      </w:pPr>
      <w:r>
        <w:rPr>
          <w:rFonts w:ascii="微软雅黑" w:hAnsi="微软雅黑" w:cs="微软雅黑"/>
          <w:i w:val="false"/>
          <w:strike w:val="false"/>
          <w:color w:val="323232"/>
          <w:spacing w:val="0"/>
          <w:sz w:val="24"/>
          <w:u w:val="none"/>
        </w:rPr>
        <w:t>4.结业与评优：圆满完成夏令营活动者颁发结业证书；表现突出者评选优秀营员。</w:t>
      </w:r>
    </w:p>
    <w:p>
      <w:pPr>
        <w:snapToGrid/>
        <w:spacing w:line="432"/>
        <w:ind w:firstLine="640"/>
        <w:rPr/>
      </w:pPr>
      <w:r>
        <w:rPr>
          <w:rFonts w:ascii="微软雅黑" w:hAnsi="微软雅黑" w:cs="微软雅黑"/>
          <w:b/>
          <w:i w:val="false"/>
          <w:strike w:val="false"/>
          <w:color w:val="323232"/>
          <w:spacing w:val="0"/>
          <w:sz w:val="24"/>
          <w:u w:val="none"/>
        </w:rPr>
        <w:t>五、政策支持</w:t>
      </w:r>
    </w:p>
    <w:p>
      <w:pPr>
        <w:snapToGrid/>
        <w:spacing w:line="432"/>
        <w:ind w:firstLine="640"/>
        <w:rPr/>
      </w:pPr>
      <w:r>
        <w:rPr>
          <w:rFonts w:ascii="微软雅黑" w:hAnsi="微软雅黑" w:cs="微软雅黑"/>
          <w:i w:val="false"/>
          <w:strike w:val="false"/>
          <w:color w:val="323232"/>
          <w:spacing w:val="0"/>
          <w:sz w:val="24"/>
          <w:u w:val="none"/>
        </w:rPr>
        <w:t>1.学习保障：学院安排资深专业教师担任班主任，安排导师对接营员，安排成长辅导员。</w:t>
      </w:r>
    </w:p>
    <w:p>
      <w:pPr>
        <w:snapToGrid/>
        <w:spacing w:line="432"/>
        <w:ind w:firstLine="640"/>
        <w:rPr/>
      </w:pPr>
      <w:r>
        <w:rPr>
          <w:rFonts w:ascii="微软雅黑" w:hAnsi="微软雅黑" w:cs="微软雅黑"/>
          <w:i w:val="false"/>
          <w:strike w:val="false"/>
          <w:color w:val="323232"/>
          <w:spacing w:val="0"/>
          <w:sz w:val="24"/>
          <w:u w:val="none"/>
        </w:rPr>
        <w:t>2.食宿安排：学校为所有营员提供免费用餐（餐标：50元/天）；为所有校外营员提供免费住宿（双标或单间）；为所有营员免费提供统一着装（文化衫）。</w:t>
      </w:r>
    </w:p>
    <w:p>
      <w:pPr>
        <w:snapToGrid/>
        <w:spacing w:line="432"/>
        <w:ind w:firstLine="640"/>
        <w:rPr/>
      </w:pPr>
      <w:r>
        <w:rPr>
          <w:rFonts w:ascii="微软雅黑" w:hAnsi="微软雅黑" w:cs="微软雅黑"/>
          <w:i w:val="false"/>
          <w:strike w:val="false"/>
          <w:color w:val="323232"/>
          <w:spacing w:val="0"/>
          <w:sz w:val="24"/>
          <w:u w:val="none"/>
        </w:rPr>
        <w:t>3.交通补助：为鼓励校外高校大学生报名，对省外高校营员提供150元交通补助，对省内校外营员提供75元交通补助。</w:t>
      </w:r>
    </w:p>
    <w:p>
      <w:pPr>
        <w:snapToGrid/>
        <w:spacing w:line="432"/>
        <w:ind w:firstLine="640"/>
        <w:rPr/>
      </w:pPr>
      <w:r>
        <w:rPr>
          <w:rFonts w:ascii="微软雅黑" w:hAnsi="微软雅黑" w:cs="微软雅黑"/>
          <w:i w:val="false"/>
          <w:strike w:val="false"/>
          <w:color w:val="323232"/>
          <w:spacing w:val="0"/>
          <w:sz w:val="24"/>
          <w:u w:val="none"/>
        </w:rPr>
        <w:t>4.安全保障：为全体营员购买意外伤害保险。</w:t>
      </w:r>
    </w:p>
    <w:p>
      <w:pPr>
        <w:snapToGrid/>
        <w:spacing w:line="432"/>
        <w:ind w:firstLine="640"/>
        <w:rPr/>
      </w:pPr>
      <w:r>
        <w:rPr>
          <w:rFonts w:ascii="微软雅黑" w:hAnsi="微软雅黑" w:cs="微软雅黑"/>
          <w:i w:val="false"/>
          <w:strike w:val="false"/>
          <w:color w:val="323232"/>
          <w:spacing w:val="0"/>
          <w:sz w:val="24"/>
          <w:u w:val="none"/>
        </w:rPr>
        <w:t>5.录取优惠：对于取得推免资格的优秀营员在同等条件下可优先获得我校2025年推免生拟录取资格；对于未取得推免资格的优秀营员，报名参加2025年全国硕士研究生招生考试、第一志愿报考我校且初试成绩达到报考专业复试分数线的，同等条件下优先录取。</w:t>
      </w:r>
    </w:p>
    <w:p>
      <w:pPr>
        <w:snapToGrid/>
        <w:spacing w:line="432"/>
        <w:ind w:firstLine="640"/>
        <w:rPr/>
      </w:pPr>
      <w:r>
        <w:rPr>
          <w:rFonts w:ascii="微软雅黑" w:hAnsi="微软雅黑" w:cs="微软雅黑"/>
          <w:b/>
          <w:i w:val="false"/>
          <w:strike w:val="false"/>
          <w:color w:val="323232"/>
          <w:spacing w:val="0"/>
          <w:sz w:val="24"/>
          <w:u w:val="none"/>
        </w:rPr>
        <w:t>六、联系方式</w:t>
      </w:r>
    </w:p>
    <w:p>
      <w:pPr>
        <w:snapToGrid/>
        <w:spacing w:line="432"/>
        <w:ind w:firstLine="640"/>
        <w:rPr/>
      </w:pPr>
      <w:r>
        <w:rPr>
          <w:rFonts w:ascii="微软雅黑" w:hAnsi="微软雅黑" w:cs="微软雅黑"/>
          <w:i w:val="false"/>
          <w:strike w:val="false"/>
          <w:color w:val="323232"/>
          <w:spacing w:val="0"/>
          <w:sz w:val="24"/>
          <w:u w:val="none"/>
        </w:rPr>
        <w:t>交流QQ群：933433549 ；请实名（格式：“XX大学-XX院系-姓名”，如：湖南工业大学-土木工程学院-张三）加入“土木工程学院2024年学术夏令营”QQ群。</w:t>
      </w:r>
    </w:p>
    <w:p>
      <w:pPr>
        <w:snapToGrid/>
        <w:spacing w:line="432"/>
        <w:ind w:firstLine="640"/>
        <w:rPr/>
      </w:pPr>
      <w:r>
        <w:rPr>
          <w:rFonts w:ascii="微软雅黑" w:hAnsi="微软雅黑" w:cs="微软雅黑"/>
          <w:i w:val="false"/>
          <w:strike w:val="false"/>
          <w:color w:val="323232"/>
          <w:spacing w:val="0"/>
          <w:sz w:val="24"/>
          <w:u w:val="none"/>
        </w:rPr>
        <w:t>通讯地址：湖南省湘潭市雨湖区湖南科技大学土木工程学院土木楼208室</w:t>
      </w:r>
    </w:p>
    <w:p>
      <w:pPr>
        <w:snapToGrid/>
        <w:spacing w:line="432"/>
        <w:ind w:firstLine="640"/>
        <w:rPr/>
      </w:pPr>
      <w:r>
        <w:rPr>
          <w:rFonts w:ascii="微软雅黑" w:hAnsi="微软雅黑" w:cs="微软雅黑"/>
          <w:i w:val="false"/>
          <w:strike w:val="false"/>
          <w:color w:val="323232"/>
          <w:spacing w:val="0"/>
          <w:sz w:val="24"/>
          <w:u w:val="none"/>
        </w:rPr>
        <w:t>邮  编：411201</w:t>
      </w:r>
    </w:p>
    <w:p>
      <w:pPr>
        <w:snapToGrid/>
        <w:spacing w:line="432"/>
        <w:ind w:firstLine="640"/>
        <w:rPr/>
      </w:pPr>
      <w:r>
        <w:rPr>
          <w:rFonts w:ascii="微软雅黑" w:hAnsi="微软雅黑" w:cs="微软雅黑"/>
          <w:i w:val="false"/>
          <w:strike w:val="false"/>
          <w:color w:val="323232"/>
          <w:spacing w:val="0"/>
          <w:sz w:val="24"/>
          <w:u w:val="none"/>
        </w:rPr>
        <w:t>电  话：58290052</w:t>
      </w:r>
    </w:p>
    <w:p>
      <w:pPr>
        <w:snapToGrid/>
        <w:spacing w:line="432"/>
        <w:ind w:firstLine="640"/>
        <w:rPr/>
      </w:pPr>
      <w:r>
        <w:rPr>
          <w:rFonts w:ascii="微软雅黑" w:hAnsi="微软雅黑" w:cs="微软雅黑"/>
          <w:i w:val="false"/>
          <w:strike w:val="false"/>
          <w:color w:val="323232"/>
          <w:spacing w:val="0"/>
          <w:sz w:val="24"/>
          <w:u w:val="none"/>
        </w:rPr>
        <w:t>联系人：白老师</w:t>
      </w:r>
    </w:p>
    <w:p>
      <w:pPr>
        <w:snapToGrid/>
        <w:spacing w:line="432"/>
        <w:ind w:firstLine="640"/>
        <w:jc w:val="right"/>
        <w:rPr/>
      </w:pPr>
      <w:r>
        <w:rPr>
          <w:rFonts w:ascii="微软雅黑" w:hAnsi="微软雅黑" w:cs="微软雅黑"/>
          <w:i w:val="false"/>
          <w:strike w:val="false"/>
          <w:color w:val="323232"/>
          <w:spacing w:val="0"/>
          <w:sz w:val="24"/>
          <w:u w:val="none"/>
        </w:rPr>
        <w:t>湖南科技大学土木工程学院</w:t>
      </w:r>
    </w:p>
    <w:p>
      <w:pPr>
        <w:snapToGrid/>
        <w:spacing w:line="432"/>
        <w:ind w:firstLine="640"/>
        <w:jc w:val="right"/>
        <w:rPr/>
      </w:pPr>
      <w:r>
        <w:rPr>
          <w:rFonts w:ascii="微软雅黑" w:hAnsi="微软雅黑" w:cs="微软雅黑"/>
          <w:i w:val="false"/>
          <w:strike w:val="false"/>
          <w:color w:val="323232"/>
          <w:spacing w:val="0"/>
          <w:sz w:val="24"/>
          <w:u w:val="none"/>
        </w:rPr>
        <w:t>2024年6月18日</w:t>
      </w:r>
    </w:p>
    <w:p>
      <w:pPr>
        <w:snapToGrid/>
        <w:spacing w:line="240"/>
        <w:ind w:firstLine="420"/>
        <w:rPr/>
      </w:pPr>
    </w:p>
    <w:p>
      <w:pPr>
        <w:pStyle w:val="000004"/>
        <w:snapToGrid/>
        <w:spacing w:line="240"/>
        <w:ind w:left="0" w:firstLine="420"/>
        <w:rPr/>
      </w:pPr>
      <w:r>
        <w:rPr>
          <w:rFonts w:ascii="微软雅黑" w:hAnsi="微软雅黑" w:cs="微软雅黑"/>
          <w:i w:val="false"/>
          <w:strike w:val="false"/>
          <w:color w:val="323232"/>
          <w:spacing w:val="0"/>
          <w:sz w:val="21"/>
          <w:u w:val="none"/>
        </w:rPr>
        <w:t>相关附件</w:t>
      </w:r>
    </w:p>
    <w:p>
      <w:pPr>
        <w:numPr>
          <w:ilvl w:val="0"/>
          <w:numId w:val="1"/>
        </w:numPr>
        <w:pBdr/>
        <w:snapToGrid/>
        <w:spacing w:line="240"/>
        <w:ind/>
        <w:jc w:val="left"/>
        <w:rPr/>
      </w:pPr>
      <w:r>
        <w:rPr/>
        <w:fldChar w:fldCharType="begin"/>
      </w:r>
      <w:r>
        <w:rPr/>
        <w:instrText>HYPERLINK http://tmxy.hnust.edu.cn/docs//2024-06/e3e82031da7e4883b228b69c6ea299f2.docx normalLink \tdft \tdfe -10 \tdfid \tddp \tdop \tdlt inline \tdds \tdfvi \tdlf \l \tdsub normalLink \tdkey yz24fl \tdkey yz24fl</w:instrText>
      </w:r>
      <w:r>
        <w:rPr/>
        <w:fldChar w:fldCharType="separate"/>
      </w:r>
      <w:r>
        <w:rPr>
          <w:rStyle w:val="000016"/>
          <w:color/>
        </w:rPr>
        <w:t>湖南科技大学土木工程学院2024年大学生学术夏令营申请表</w:t>
      </w:r>
      <w:r>
        <w:rPr/>
        <w:fldChar w:fldCharType="end"/>
      </w:r>
    </w:p>
    <w:p>
      <w:pPr>
        <w:snapToGrid/>
        <w:spacing w:line="240"/>
        <w:ind w:left="0"/>
        <w:jc w:val="left"/>
        <w:rPr/>
      </w:pPr>
    </w:p>
    <w:p>
      <w:pPr>
        <w:pStyle w:val="000003"/>
        <w:snapToGrid/>
        <w:spacing w:before="300" w:after="150" w:line="373"/>
        <w:ind w:left="0" w:right="0" w:hanging="0"/>
        <w:jc w:val="center"/>
        <w:rPr/>
      </w:pPr>
      <w:r>
        <w:rPr>
          <w:rFonts w:ascii="微软雅黑" w:hAnsi="微软雅黑" w:cs="微软雅黑"/>
          <w:i w:val="false"/>
          <w:strike w:val="false"/>
          <w:color w:val="91200D"/>
          <w:spacing w:val="0"/>
          <w:sz w:val="27"/>
          <w:u w:val="none"/>
        </w:rPr>
        <w:t>机电工程学院推荐优秀应届本科毕业生免试攻读硕士学位研究生工作细则（修订稿</w:t>
      </w:r>
    </w:p>
    <w:p>
      <w:pPr>
        <w:pStyle w:val="000013"/>
        <w:pBdr/>
        <w:ind/>
        <w:jc w:val="left"/>
        <w:rPr/>
      </w:pPr>
      <w:r>
        <w:rPr/>
        <w:drawing>
          <wp:inline distT="0" distB="0" distL="0" distR="0">
            <wp:extent cx="5278120" cy="5323426"/>
            <wp:effectExtent l="0" t="0" r="0" b="0"/>
            <wp:docPr id="2" name="picture" descr="descript"/>
            <wp:cNvGraphicFramePr/>
            <a:graphic>
              <a:graphicData uri="http://schemas.openxmlformats.org/drawingml/2006/picture">
                <pic:pic>
                  <pic:nvPicPr>
                    <pic:cNvPr id="3" name="picture" descr="descript"/>
                    <pic:cNvPicPr/>
                  </pic:nvPicPr>
                  <pic:blipFill rotWithShape="true">
                    <a:blip r:embed="rId5"/>
                    <a:stretch/>
                  </pic:blipFill>
                  <pic:spPr>
                    <a:xfrm>
                      <a:off x="0" y="0"/>
                      <a:ext cx="5278120" cy="5323426"/>
                    </a:xfrm>
                    <a:prstGeom prst="rect">
                      <a:avLst/>
                    </a:prstGeom>
                  </pic:spPr>
                </pic:pic>
              </a:graphicData>
            </a:graphic>
          </wp:inline>
        </w:drawing>
      </w:r>
    </w:p>
    <w:p>
      <w:pPr>
        <w:pStyle w:val="000001"/>
        <w:jc w:val="left"/>
        <w:rPr/>
      </w:pPr>
      <w:r>
        <w:rPr/>
        <w:drawing>
          <wp:inline distT="0" distB="0" distL="0" distR="0">
            <wp:extent cx="5278120" cy="5324352"/>
            <wp:effectExtent l="0" t="0" r="0" b="0"/>
            <wp:docPr id="5" name="picture" descr="descript"/>
            <wp:cNvGraphicFramePr/>
            <a:graphic>
              <a:graphicData uri="http://schemas.openxmlformats.org/drawingml/2006/picture">
                <pic:pic>
                  <pic:nvPicPr>
                    <pic:cNvPr id="6" name="picture" descr="descript"/>
                    <pic:cNvPicPr/>
                  </pic:nvPicPr>
                  <pic:blipFill rotWithShape="true">
                    <a:blip r:embed="rId6"/>
                    <a:stretch/>
                  </pic:blipFill>
                  <pic:spPr>
                    <a:xfrm>
                      <a:off x="0" y="0"/>
                      <a:ext cx="5278120" cy="5324352"/>
                    </a:xfrm>
                    <a:prstGeom prst="rect">
                      <a:avLst/>
                    </a:prstGeom>
                  </pic:spPr>
                </pic:pic>
              </a:graphicData>
            </a:graphic>
          </wp:inline>
        </w:drawing>
      </w:r>
    </w:p>
    <w:p>
      <w:pPr>
        <w:pBdr/>
        <w:ind/>
        <w:rPr/>
      </w:pPr>
      <w:r>
        <w:rPr/>
        <w:drawing>
          <wp:inline distT="0" distB="0" distL="0" distR="0">
            <wp:extent cx="5278120" cy="4579956"/>
            <wp:effectExtent l="0" t="0" r="0" b="0"/>
            <wp:docPr id="8" name="picture" descr="descript"/>
            <wp:cNvGraphicFramePr/>
            <a:graphic>
              <a:graphicData uri="http://schemas.openxmlformats.org/drawingml/2006/picture">
                <pic:pic>
                  <pic:nvPicPr>
                    <pic:cNvPr id="9" name="picture" descr="descript"/>
                    <pic:cNvPicPr/>
                  </pic:nvPicPr>
                  <pic:blipFill rotWithShape="true">
                    <a:blip r:embed="rId7"/>
                    <a:stretch/>
                  </pic:blipFill>
                  <pic:spPr>
                    <a:xfrm>
                      <a:off x="0" y="0"/>
                      <a:ext cx="5278120" cy="4579956"/>
                    </a:xfrm>
                    <a:prstGeom prst="rect">
                      <a:avLst/>
                    </a:prstGeom>
                  </pic:spPr>
                </pic:pic>
              </a:graphicData>
            </a:graphic>
          </wp:inline>
        </w:drawing>
      </w:r>
      <w:r>
        <w:rPr/>
        <w:drawing>
          <wp:inline distT="0" distB="0" distL="0" distR="0">
            <wp:extent cx="5278120" cy="4788536"/>
            <wp:effectExtent l="0" t="0" r="0" b="0"/>
            <wp:docPr id="11" name="picture" descr="descript"/>
            <wp:cNvGraphicFramePr/>
            <a:graphic>
              <a:graphicData uri="http://schemas.openxmlformats.org/drawingml/2006/picture">
                <pic:pic>
                  <pic:nvPicPr>
                    <pic:cNvPr id="12" name="picture" descr="descript"/>
                    <pic:cNvPicPr/>
                  </pic:nvPicPr>
                  <pic:blipFill rotWithShape="true">
                    <a:blip r:embed="rId8"/>
                    <a:stretch/>
                  </pic:blipFill>
                  <pic:spPr>
                    <a:xfrm>
                      <a:off x="0" y="0"/>
                      <a:ext cx="5278120" cy="4788536"/>
                    </a:xfrm>
                    <a:prstGeom prst="rect">
                      <a:avLst/>
                    </a:prstGeom>
                  </pic:spPr>
                </pic:pic>
              </a:graphicData>
            </a:graphic>
          </wp:inline>
        </w:drawing>
      </w:r>
      <w:r>
        <w:rPr/>
        <w:drawing>
          <wp:inline distT="0" distB="0" distL="0" distR="0">
            <wp:extent cx="5278120" cy="5488944"/>
            <wp:effectExtent l="0" t="0" r="0" b="0"/>
            <wp:docPr id="14" name="picture" descr="descript"/>
            <wp:cNvGraphicFramePr/>
            <a:graphic>
              <a:graphicData uri="http://schemas.openxmlformats.org/drawingml/2006/picture">
                <pic:pic>
                  <pic:nvPicPr>
                    <pic:cNvPr id="15" name="picture" descr="descript"/>
                    <pic:cNvPicPr/>
                  </pic:nvPicPr>
                  <pic:blipFill rotWithShape="true">
                    <a:blip r:embed="rId9"/>
                    <a:stretch/>
                  </pic:blipFill>
                  <pic:spPr>
                    <a:xfrm>
                      <a:off x="0" y="0"/>
                      <a:ext cx="5278120" cy="5488944"/>
                    </a:xfrm>
                    <a:prstGeom prst="rect">
                      <a:avLst/>
                    </a:prstGeom>
                  </pic:spPr>
                </pic:pic>
              </a:graphicData>
            </a:graphic>
          </wp:inline>
        </w:drawing>
      </w:r>
      <w:r>
        <w:rPr/>
        <w:drawing>
          <wp:inline distT="0" distB="0" distL="0" distR="0">
            <wp:extent cx="5278120" cy="5361779"/>
            <wp:effectExtent l="0" t="0" r="0" b="0"/>
            <wp:docPr id="17" name="picture" descr="descript"/>
            <wp:cNvGraphicFramePr/>
            <a:graphic>
              <a:graphicData uri="http://schemas.openxmlformats.org/drawingml/2006/picture">
                <pic:pic>
                  <pic:nvPicPr>
                    <pic:cNvPr id="18" name="picture" descr="descript"/>
                    <pic:cNvPicPr/>
                  </pic:nvPicPr>
                  <pic:blipFill rotWithShape="true">
                    <a:blip r:embed="rId10"/>
                    <a:stretch/>
                  </pic:blipFill>
                  <pic:spPr>
                    <a:xfrm>
                      <a:off x="0" y="0"/>
                      <a:ext cx="5278120" cy="5361779"/>
                    </a:xfrm>
                    <a:prstGeom prst="rect">
                      <a:avLst/>
                    </a:prstGeom>
                  </pic:spPr>
                </pic:pic>
              </a:graphicData>
            </a:graphic>
          </wp:inline>
        </w:drawing>
      </w:r>
      <w:r>
        <w:rPr/>
        <w:drawing>
          <wp:inline distT="0" distB="0" distL="0" distR="0">
            <wp:extent cx="5278120" cy="5574819"/>
            <wp:effectExtent l="0" t="0" r="0" b="0"/>
            <wp:docPr id="20" name="picture" descr="descript"/>
            <wp:cNvGraphicFramePr/>
            <a:graphic>
              <a:graphicData uri="http://schemas.openxmlformats.org/drawingml/2006/picture">
                <pic:pic>
                  <pic:nvPicPr>
                    <pic:cNvPr id="21" name="picture" descr="descript"/>
                    <pic:cNvPicPr/>
                  </pic:nvPicPr>
                  <pic:blipFill rotWithShape="true">
                    <a:blip r:embed="rId11"/>
                    <a:stretch/>
                  </pic:blipFill>
                  <pic:spPr>
                    <a:xfrm>
                      <a:off x="0" y="0"/>
                      <a:ext cx="5278120" cy="5574819"/>
                    </a:xfrm>
                    <a:prstGeom prst="rect">
                      <a:avLst/>
                    </a:prstGeom>
                  </pic:spPr>
                </pic:pic>
              </a:graphicData>
            </a:graphic>
          </wp:inline>
        </w:drawing>
      </w:r>
      <w:r>
        <w:rPr/>
        <w:drawing>
          <wp:inline distT="0" distB="0" distL="0" distR="0">
            <wp:extent cx="5278120" cy="5469634"/>
            <wp:effectExtent l="0" t="0" r="0" b="0"/>
            <wp:docPr id="23" name="picture" descr="descript"/>
            <wp:cNvGraphicFramePr/>
            <a:graphic>
              <a:graphicData uri="http://schemas.openxmlformats.org/drawingml/2006/picture">
                <pic:pic>
                  <pic:nvPicPr>
                    <pic:cNvPr id="24" name="picture" descr="descript"/>
                    <pic:cNvPicPr/>
                  </pic:nvPicPr>
                  <pic:blipFill rotWithShape="true">
                    <a:blip r:embed=""/>
                    <a:stretch/>
                  </pic:blipFill>
                  <pic:spPr>
                    <a:xfrm>
                      <a:off x="0" y="0"/>
                      <a:ext cx="5278120" cy="5469634"/>
                    </a:xfrm>
                    <a:prstGeom prst="rect">
                      <a:avLst/>
                    </a:prstGeom>
                  </pic:spPr>
                </pic:pic>
              </a:graphicData>
            </a:graphic>
          </wp:inline>
        </w:drawing>
      </w:r>
      <w:r>
        <w:rPr/>
        <w:drawing>
          <wp:inline distT="0" distB="0" distL="0" distR="0">
            <wp:extent cx="5278120" cy="5583984"/>
            <wp:effectExtent l="0" t="0" r="0" b="0"/>
            <wp:docPr id="26" name="picture" descr="descript"/>
            <wp:cNvGraphicFramePr/>
            <a:graphic>
              <a:graphicData uri="http://schemas.openxmlformats.org/drawingml/2006/picture">
                <pic:pic>
                  <pic:nvPicPr>
                    <pic:cNvPr id="27" name="picture" descr="descript"/>
                    <pic:cNvPicPr/>
                  </pic:nvPicPr>
                  <pic:blipFill rotWithShape="true">
                    <a:blip r:embed="rId12"/>
                    <a:stretch/>
                  </pic:blipFill>
                  <pic:spPr>
                    <a:xfrm>
                      <a:off x="0" y="0"/>
                      <a:ext cx="5278120" cy="5583984"/>
                    </a:xfrm>
                    <a:prstGeom prst="rect">
                      <a:avLst/>
                    </a:prstGeom>
                  </pic:spPr>
                </pic:pic>
              </a:graphicData>
            </a:graphic>
          </wp:inline>
        </w:drawing>
      </w:r>
      <w:r>
        <w:rPr/>
        <w:drawing>
          <wp:inline distT="0" distB="0" distL="0" distR="0">
            <wp:extent cx="5278120" cy="4676815"/>
            <wp:effectExtent l="0" t="0" r="0" b="0"/>
            <wp:docPr id="29" name="picture" descr="descript"/>
            <wp:cNvGraphicFramePr/>
            <a:graphic>
              <a:graphicData uri="http://schemas.openxmlformats.org/drawingml/2006/picture">
                <pic:pic>
                  <pic:nvPicPr>
                    <pic:cNvPr id="30" name="picture" descr="descript"/>
                    <pic:cNvPicPr/>
                  </pic:nvPicPr>
                  <pic:blipFill rotWithShape="true">
                    <a:blip r:embed="rId13"/>
                    <a:stretch/>
                  </pic:blipFill>
                  <pic:spPr>
                    <a:xfrm>
                      <a:off x="0" y="0"/>
                      <a:ext cx="5278120" cy="4676815"/>
                    </a:xfrm>
                    <a:prstGeom prst="rect">
                      <a:avLst/>
                    </a:prstGeom>
                  </pic:spPr>
                </pic:pic>
              </a:graphicData>
            </a:graphic>
          </wp:inline>
        </w:drawing>
      </w:r>
    </w:p>
    <w:p>
      <w:pPr>
        <w:pBdr/>
        <w:ind/>
        <w:rPr/>
      </w:pPr>
    </w:p>
    <w:p>
      <w:pPr>
        <w:pBdr/>
        <w:ind/>
        <w:rPr/>
      </w:pPr>
      <w:r>
        <w:rPr/>
        <w:drawing>
          <wp:inline distT="0" distB="0" distL="0" distR="0">
            <wp:extent cx="5278120" cy="4354117"/>
            <wp:effectExtent l="0" t="0" r="0" b="0"/>
            <wp:docPr id="32" name="picture" descr="descript"/>
            <wp:cNvGraphicFramePr/>
            <a:graphic>
              <a:graphicData uri="http://schemas.openxmlformats.org/drawingml/2006/picture">
                <pic:pic>
                  <pic:nvPicPr>
                    <pic:cNvPr id="33" name="picture" descr="descript"/>
                    <pic:cNvPicPr/>
                  </pic:nvPicPr>
                  <pic:blipFill rotWithShape="true">
                    <a:blip r:embed="rId14"/>
                    <a:stretch/>
                  </pic:blipFill>
                  <pic:spPr>
                    <a:xfrm>
                      <a:off x="0" y="0"/>
                      <a:ext cx="5278120" cy="4354117"/>
                    </a:xfrm>
                    <a:prstGeom prst="rect">
                      <a:avLst/>
                    </a:prstGeom>
                  </pic:spPr>
                </pic:pic>
              </a:graphicData>
            </a:graphic>
          </wp:inline>
        </w:drawing>
      </w:r>
    </w:p>
    <w:p>
      <w:pPr>
        <w:pBdr/>
        <w:ind/>
        <w:rPr/>
      </w:pPr>
    </w:p>
    <w:p>
      <w:pPr>
        <w:pStyle w:val="000003"/>
        <w:snapToGrid/>
        <w:spacing w:before="0" w:after="225" w:line="360"/>
        <w:ind w:left="0" w:right="0" w:hanging="0"/>
        <w:jc w:val="center"/>
        <w:rPr/>
      </w:pPr>
      <w:r>
        <w:rPr>
          <w:rFonts w:ascii="微软雅黑" w:hAnsi="微软雅黑" w:cs="微软雅黑"/>
          <w:i w:val="false"/>
          <w:strike w:val="false"/>
          <w:color w:val="990000"/>
          <w:spacing w:val="0"/>
          <w:sz w:val="30"/>
          <w:u w:val="none"/>
        </w:rPr>
        <w:t>湖南科技大学信息与电气工程学院关于举办“2024年大学生学术夏令营”的通知</w:t>
      </w:r>
    </w:p>
    <w:p>
      <w:pPr>
        <w:snapToGrid/>
        <w:spacing w:line="566"/>
        <w:ind w:firstLine="555"/>
        <w:rPr/>
      </w:pPr>
      <w:r>
        <w:rPr>
          <w:rFonts w:ascii="黑体" w:hAnsi="黑体" w:eastAsia="黑体" w:cs="黑体"/>
          <w:i w:val="false"/>
          <w:strike w:val="false"/>
          <w:color w:val="323232"/>
          <w:spacing w:val="0"/>
          <w:sz w:val="29"/>
          <w:u w:val="none"/>
        </w:rPr>
        <w:t>一、工作安排</w:t>
      </w:r>
    </w:p>
    <w:p>
      <w:pPr>
        <w:snapToGrid/>
        <w:spacing w:line="566"/>
        <w:ind w:firstLine="555"/>
        <w:rPr/>
      </w:pPr>
      <w:r>
        <w:rPr>
          <w:rFonts w:ascii="仿宋" w:hAnsi="仿宋" w:eastAsia="仿宋" w:cs="仿宋"/>
          <w:b/>
          <w:i w:val="false"/>
          <w:strike w:val="false"/>
          <w:color w:val="323232"/>
          <w:spacing w:val="0"/>
          <w:sz w:val="29"/>
          <w:u w:val="none"/>
        </w:rPr>
        <w:t>营员规模：</w:t>
      </w:r>
      <w:r>
        <w:rPr>
          <w:rFonts w:ascii="仿宋" w:hAnsi="仿宋" w:eastAsia="仿宋" w:cs="仿宋"/>
          <w:i w:val="false"/>
          <w:strike w:val="false"/>
          <w:color w:val="323232"/>
          <w:spacing w:val="0"/>
          <w:sz w:val="29"/>
          <w:u w:val="none"/>
        </w:rPr>
        <w:t>40人左右</w:t>
      </w:r>
    </w:p>
    <w:p>
      <w:pPr>
        <w:snapToGrid/>
        <w:spacing w:line="566"/>
        <w:ind w:firstLine="555"/>
        <w:rPr/>
      </w:pPr>
      <w:r>
        <w:rPr>
          <w:rFonts w:ascii="仿宋" w:hAnsi="仿宋" w:eastAsia="仿宋" w:cs="仿宋"/>
          <w:b/>
          <w:i w:val="false"/>
          <w:strike w:val="false"/>
          <w:color w:val="323232"/>
          <w:spacing w:val="0"/>
          <w:sz w:val="29"/>
          <w:u w:val="none"/>
        </w:rPr>
        <w:t>营员报名：</w:t>
      </w:r>
      <w:r>
        <w:rPr>
          <w:rFonts w:ascii="仿宋" w:hAnsi="仿宋" w:eastAsia="仿宋" w:cs="仿宋"/>
          <w:i w:val="false"/>
          <w:strike w:val="false"/>
          <w:color w:val="323232"/>
          <w:spacing w:val="0"/>
          <w:sz w:val="29"/>
          <w:u w:val="none"/>
        </w:rPr>
        <w:t>2024年6月18-27日（6月27日24:00截止，学院根据报名情况可能提前结束报名）</w:t>
      </w:r>
    </w:p>
    <w:p>
      <w:pPr>
        <w:snapToGrid/>
        <w:spacing w:line="566"/>
        <w:ind w:firstLine="555"/>
        <w:rPr/>
      </w:pPr>
      <w:r>
        <w:rPr>
          <w:rFonts w:ascii="仿宋" w:hAnsi="仿宋" w:eastAsia="仿宋" w:cs="仿宋"/>
          <w:b/>
          <w:i w:val="false"/>
          <w:strike w:val="false"/>
          <w:color w:val="323232"/>
          <w:spacing w:val="0"/>
          <w:sz w:val="29"/>
          <w:u w:val="none"/>
        </w:rPr>
        <w:t>营员选拔：</w:t>
      </w:r>
      <w:r>
        <w:rPr>
          <w:rFonts w:ascii="仿宋" w:hAnsi="仿宋" w:eastAsia="仿宋" w:cs="仿宋"/>
          <w:i w:val="false"/>
          <w:strike w:val="false"/>
          <w:color w:val="323232"/>
          <w:spacing w:val="0"/>
          <w:sz w:val="29"/>
          <w:u w:val="none"/>
        </w:rPr>
        <w:t>将根据申请人的学习成绩、综合素养等条件综合择优遴选，夏令营营员名单将于6月28日在我院官网上公布（</w:t>
      </w:r>
      <w:r>
        <w:rPr>
          <w:rFonts w:ascii="仿宋" w:hAnsi="仿宋" w:eastAsia="仿宋" w:cs="仿宋"/>
          <w:b/>
          <w:i w:val="false"/>
          <w:strike w:val="false"/>
          <w:color w:val="323232"/>
          <w:spacing w:val="0"/>
          <w:sz w:val="29"/>
          <w:u w:val="none"/>
        </w:rPr>
        <w:t>注：如提前结束报名则提前公布</w:t>
      </w:r>
      <w:r>
        <w:rPr>
          <w:rFonts w:ascii="仿宋" w:hAnsi="仿宋" w:eastAsia="仿宋" w:cs="仿宋"/>
          <w:i w:val="false"/>
          <w:strike w:val="false"/>
          <w:color w:val="323232"/>
          <w:spacing w:val="0"/>
          <w:sz w:val="29"/>
          <w:u w:val="none"/>
        </w:rPr>
        <w:t>）。</w:t>
      </w:r>
    </w:p>
    <w:p>
      <w:pPr>
        <w:snapToGrid/>
        <w:spacing w:line="566"/>
        <w:ind w:firstLine="555"/>
        <w:rPr/>
      </w:pPr>
      <w:r>
        <w:rPr>
          <w:rFonts w:ascii="仿宋" w:hAnsi="仿宋" w:eastAsia="仿宋" w:cs="仿宋"/>
          <w:b/>
          <w:i w:val="false"/>
          <w:strike w:val="false"/>
          <w:color w:val="323232"/>
          <w:spacing w:val="0"/>
          <w:sz w:val="29"/>
          <w:u w:val="none"/>
        </w:rPr>
        <w:t>夏令营开营：</w:t>
      </w:r>
      <w:r>
        <w:rPr>
          <w:rFonts w:ascii="仿宋" w:hAnsi="仿宋" w:eastAsia="仿宋" w:cs="仿宋"/>
          <w:i w:val="false"/>
          <w:strike w:val="false"/>
          <w:color w:val="323232"/>
          <w:spacing w:val="0"/>
          <w:sz w:val="29"/>
          <w:u w:val="none"/>
        </w:rPr>
        <w:t>2024年7月8-10日</w:t>
      </w:r>
    </w:p>
    <w:p>
      <w:pPr>
        <w:snapToGrid/>
        <w:spacing w:line="566"/>
        <w:ind w:firstLine="555"/>
        <w:rPr/>
      </w:pPr>
      <w:r>
        <w:rPr>
          <w:rFonts w:ascii="黑体" w:hAnsi="黑体" w:eastAsia="黑体" w:cs="黑体"/>
          <w:i w:val="false"/>
          <w:strike w:val="false"/>
          <w:color w:val="323232"/>
          <w:spacing w:val="0"/>
          <w:sz w:val="29"/>
          <w:u w:val="none"/>
        </w:rPr>
        <w:t>二、申请条件</w:t>
      </w:r>
    </w:p>
    <w:p>
      <w:pPr>
        <w:snapToGrid/>
        <w:spacing w:line="566"/>
        <w:ind w:firstLine="555"/>
        <w:rPr/>
      </w:pPr>
      <w:r>
        <w:rPr>
          <w:rFonts w:ascii="仿宋" w:hAnsi="仿宋" w:eastAsia="仿宋" w:cs="仿宋"/>
          <w:b/>
          <w:i w:val="false"/>
          <w:strike w:val="false"/>
          <w:color w:val="323232"/>
          <w:spacing w:val="0"/>
          <w:sz w:val="29"/>
          <w:u w:val="none"/>
        </w:rPr>
        <w:t>1.政治素养：</w:t>
      </w:r>
      <w:r>
        <w:rPr>
          <w:rFonts w:ascii="仿宋" w:hAnsi="仿宋" w:eastAsia="仿宋" w:cs="仿宋"/>
          <w:i w:val="false"/>
          <w:strike w:val="false"/>
          <w:color w:val="323232"/>
          <w:spacing w:val="0"/>
          <w:sz w:val="29"/>
          <w:u w:val="none"/>
        </w:rPr>
        <w:t>具有良好的政治素质和思想道德素养，政治立场坚定，德智体美劳全面发展，遵纪守法，身心健康。</w:t>
      </w:r>
    </w:p>
    <w:p>
      <w:pPr>
        <w:snapToGrid/>
        <w:spacing w:line="566"/>
        <w:ind w:firstLine="555"/>
        <w:rPr/>
      </w:pPr>
      <w:r>
        <w:rPr>
          <w:rFonts w:ascii="仿宋" w:hAnsi="仿宋" w:eastAsia="仿宋" w:cs="仿宋"/>
          <w:b/>
          <w:i w:val="false"/>
          <w:strike w:val="false"/>
          <w:color w:val="323232"/>
          <w:spacing w:val="0"/>
          <w:sz w:val="29"/>
          <w:u w:val="none"/>
        </w:rPr>
        <w:t>2.外语水平：</w:t>
      </w:r>
      <w:r>
        <w:rPr>
          <w:rFonts w:ascii="仿宋" w:hAnsi="仿宋" w:eastAsia="仿宋" w:cs="仿宋"/>
          <w:i w:val="false"/>
          <w:strike w:val="false"/>
          <w:color w:val="323232"/>
          <w:spacing w:val="0"/>
          <w:sz w:val="29"/>
          <w:u w:val="none"/>
        </w:rPr>
        <w:t>具有较好的外语听、说、读、写能力。</w:t>
      </w:r>
    </w:p>
    <w:p>
      <w:pPr>
        <w:snapToGrid/>
        <w:spacing w:line="566"/>
        <w:ind w:firstLine="555"/>
        <w:rPr/>
      </w:pPr>
      <w:r>
        <w:rPr>
          <w:rFonts w:ascii="仿宋" w:hAnsi="仿宋" w:eastAsia="仿宋" w:cs="仿宋"/>
          <w:b/>
          <w:i w:val="false"/>
          <w:strike w:val="false"/>
          <w:color w:val="323232"/>
          <w:spacing w:val="0"/>
          <w:sz w:val="29"/>
          <w:u w:val="none"/>
        </w:rPr>
        <w:t>3.综合素养：</w:t>
      </w:r>
      <w:r>
        <w:rPr>
          <w:rFonts w:ascii="仿宋" w:hAnsi="仿宋" w:eastAsia="仿宋" w:cs="仿宋"/>
          <w:i w:val="false"/>
          <w:strike w:val="false"/>
          <w:color w:val="323232"/>
          <w:spacing w:val="0"/>
          <w:sz w:val="29"/>
          <w:u w:val="none"/>
        </w:rPr>
        <w:t>有较好的专业理论基础和良好的科研潜力。</w:t>
      </w:r>
    </w:p>
    <w:p>
      <w:pPr>
        <w:snapToGrid/>
        <w:spacing w:line="566"/>
        <w:ind w:firstLine="555"/>
        <w:rPr/>
      </w:pPr>
      <w:r>
        <w:rPr>
          <w:rFonts w:ascii="黑体" w:hAnsi="黑体" w:eastAsia="黑体" w:cs="黑体"/>
          <w:i w:val="false"/>
          <w:strike w:val="false"/>
          <w:color w:val="323232"/>
          <w:spacing w:val="0"/>
          <w:sz w:val="29"/>
          <w:u w:val="none"/>
        </w:rPr>
        <w:t>三、报名及选拔流程</w:t>
      </w:r>
    </w:p>
    <w:p>
      <w:pPr>
        <w:snapToGrid/>
        <w:spacing w:line="566"/>
        <w:ind w:firstLine="555"/>
        <w:rPr/>
      </w:pPr>
      <w:r>
        <w:rPr>
          <w:rFonts w:ascii="仿宋" w:hAnsi="仿宋" w:eastAsia="仿宋" w:cs="仿宋"/>
          <w:b/>
          <w:i w:val="false"/>
          <w:strike w:val="false"/>
          <w:color w:val="323232"/>
          <w:spacing w:val="0"/>
          <w:sz w:val="29"/>
          <w:u w:val="none"/>
        </w:rPr>
        <w:t>1.填写申请表</w:t>
      </w:r>
    </w:p>
    <w:p>
      <w:pPr>
        <w:snapToGrid/>
        <w:spacing w:line="566"/>
        <w:ind w:firstLine="555"/>
        <w:rPr/>
      </w:pPr>
      <w:r>
        <w:rPr>
          <w:rFonts w:ascii="仿宋" w:hAnsi="仿宋" w:eastAsia="仿宋" w:cs="仿宋"/>
          <w:i w:val="false"/>
          <w:strike w:val="false"/>
          <w:color w:val="323232"/>
          <w:spacing w:val="0"/>
          <w:sz w:val="29"/>
          <w:u w:val="none"/>
        </w:rPr>
        <w:t>在本通知附件中下载“湖南科技大学信息与电气工程学院2024年大学生学术夏令营申请表”，如实填写相关信息（注：申请表可以打印，但须手写签名确认）。</w:t>
      </w:r>
    </w:p>
    <w:p>
      <w:pPr>
        <w:snapToGrid/>
        <w:spacing w:line="566"/>
        <w:ind w:firstLine="555"/>
        <w:rPr/>
      </w:pPr>
      <w:r>
        <w:rPr>
          <w:rFonts w:ascii="仿宋" w:hAnsi="仿宋" w:eastAsia="仿宋" w:cs="仿宋"/>
          <w:b/>
          <w:i w:val="false"/>
          <w:strike w:val="false"/>
          <w:color w:val="323232"/>
          <w:spacing w:val="0"/>
          <w:sz w:val="29"/>
          <w:u w:val="none"/>
        </w:rPr>
        <w:t>2.报名材料</w:t>
      </w:r>
    </w:p>
    <w:p>
      <w:pPr>
        <w:snapToGrid/>
        <w:spacing w:line="566"/>
        <w:ind w:firstLine="555"/>
        <w:rPr/>
      </w:pPr>
      <w:r>
        <w:rPr>
          <w:rFonts w:ascii="仿宋" w:hAnsi="仿宋" w:eastAsia="仿宋" w:cs="仿宋"/>
          <w:i w:val="false"/>
          <w:strike w:val="false"/>
          <w:color w:val="323232"/>
          <w:spacing w:val="0"/>
          <w:sz w:val="29"/>
          <w:u w:val="none"/>
        </w:rPr>
        <w:t>①湖南科技大学信息与电气工程学院2024年大学生学术夏令营申请表（须手写签名）；</w:t>
      </w:r>
    </w:p>
    <w:p>
      <w:pPr>
        <w:snapToGrid/>
        <w:spacing w:line="566"/>
        <w:ind w:firstLine="555"/>
        <w:rPr/>
      </w:pPr>
      <w:r>
        <w:rPr>
          <w:rFonts w:ascii="仿宋" w:hAnsi="仿宋" w:eastAsia="仿宋" w:cs="仿宋"/>
          <w:i w:val="false"/>
          <w:strike w:val="false"/>
          <w:color w:val="323232"/>
          <w:spacing w:val="0"/>
          <w:sz w:val="29"/>
          <w:u w:val="none"/>
        </w:rPr>
        <w:t>②本科成绩单与总评成绩排名证明（由教务处盖章或学院盖章）各1份；</w:t>
      </w:r>
    </w:p>
    <w:p>
      <w:pPr>
        <w:snapToGrid/>
        <w:spacing w:line="566"/>
        <w:ind w:firstLine="555"/>
        <w:rPr/>
      </w:pPr>
      <w:r>
        <w:rPr>
          <w:rFonts w:ascii="仿宋" w:hAnsi="仿宋" w:eastAsia="仿宋" w:cs="仿宋"/>
          <w:i w:val="false"/>
          <w:strike w:val="false"/>
          <w:color w:val="323232"/>
          <w:spacing w:val="0"/>
          <w:sz w:val="29"/>
          <w:u w:val="none"/>
        </w:rPr>
        <w:t>③个人简历1份；</w:t>
      </w:r>
    </w:p>
    <w:p>
      <w:pPr>
        <w:snapToGrid/>
        <w:spacing w:line="566"/>
        <w:ind w:firstLine="555"/>
        <w:rPr/>
      </w:pPr>
      <w:r>
        <w:rPr>
          <w:rFonts w:ascii="仿宋" w:hAnsi="仿宋" w:eastAsia="仿宋" w:cs="仿宋"/>
          <w:i w:val="false"/>
          <w:strike w:val="false"/>
          <w:color w:val="323232"/>
          <w:spacing w:val="0"/>
          <w:sz w:val="29"/>
          <w:u w:val="none"/>
        </w:rPr>
        <w:t>④身份证（正反面）、学生证复印件；</w:t>
      </w:r>
    </w:p>
    <w:p>
      <w:pPr>
        <w:snapToGrid/>
        <w:spacing w:line="566"/>
        <w:ind w:firstLine="555"/>
        <w:rPr/>
      </w:pPr>
      <w:r>
        <w:rPr>
          <w:rFonts w:ascii="仿宋" w:hAnsi="仿宋" w:eastAsia="仿宋" w:cs="仿宋"/>
          <w:i w:val="false"/>
          <w:strike w:val="false"/>
          <w:color w:val="323232"/>
          <w:spacing w:val="0"/>
          <w:sz w:val="29"/>
          <w:u w:val="none"/>
        </w:rPr>
        <w:t>⑤外语水平证明材料复印件（包括大学英语四、六级考试成绩单、TOEFL成绩单、GRE/GMAT成绩单、PETS5成绩单或其他语种的等级证书等）；</w:t>
      </w:r>
    </w:p>
    <w:p>
      <w:pPr>
        <w:snapToGrid/>
        <w:spacing w:line="566"/>
        <w:ind w:firstLine="555"/>
        <w:rPr/>
      </w:pPr>
      <w:r>
        <w:rPr>
          <w:rFonts w:ascii="仿宋" w:hAnsi="仿宋" w:eastAsia="仿宋" w:cs="仿宋"/>
          <w:i w:val="false"/>
          <w:strike w:val="false"/>
          <w:color w:val="323232"/>
          <w:spacing w:val="0"/>
          <w:sz w:val="29"/>
          <w:u w:val="none"/>
        </w:rPr>
        <w:t>⑥其他证明材料（如获奖证书、学术论文等）。</w:t>
      </w:r>
    </w:p>
    <w:p>
      <w:pPr>
        <w:snapToGrid/>
        <w:spacing w:line="566"/>
        <w:ind w:firstLine="555"/>
        <w:rPr/>
      </w:pPr>
      <w:r>
        <w:rPr>
          <w:rFonts w:ascii="仿宋" w:hAnsi="仿宋" w:eastAsia="仿宋" w:cs="仿宋"/>
          <w:b/>
          <w:i w:val="false"/>
          <w:strike w:val="false"/>
          <w:color w:val="323232"/>
          <w:spacing w:val="0"/>
          <w:sz w:val="29"/>
          <w:u w:val="none"/>
        </w:rPr>
        <w:t>3.发送邮件报名</w:t>
      </w:r>
    </w:p>
    <w:p>
      <w:pPr>
        <w:snapToGrid/>
        <w:spacing w:line="566"/>
        <w:ind w:firstLine="555"/>
        <w:rPr/>
      </w:pPr>
      <w:r>
        <w:rPr>
          <w:rFonts w:ascii="仿宋" w:hAnsi="仿宋" w:eastAsia="仿宋" w:cs="仿宋"/>
          <w:i w:val="false"/>
          <w:strike w:val="false"/>
          <w:color w:val="323232"/>
          <w:spacing w:val="0"/>
          <w:sz w:val="29"/>
          <w:u w:val="none"/>
        </w:rPr>
        <w:t>请于2024年6月27日24:00前将上述材料扫描电子档（PDF格式）发送至学院邮箱：</w:t>
      </w:r>
      <w:r>
        <w:rPr>
          <w:rFonts w:ascii="仿宋" w:hAnsi="仿宋" w:eastAsia="仿宋" w:cs="仿宋"/>
          <w:i w:val="false"/>
          <w:strike w:val="false"/>
          <w:color w:val="323232"/>
          <w:spacing w:val="0"/>
          <w:sz w:val="29"/>
          <w:u w:val="single"/>
        </w:rPr>
        <w:t xml:space="preserve"> 1318008440@qq.com </w:t>
      </w:r>
      <w:r>
        <w:rPr>
          <w:rFonts w:ascii="仿宋" w:hAnsi="仿宋" w:eastAsia="仿宋" w:cs="仿宋"/>
          <w:i w:val="false"/>
          <w:strike w:val="false"/>
          <w:color w:val="323232"/>
          <w:spacing w:val="0"/>
          <w:sz w:val="29"/>
          <w:u w:val="none"/>
        </w:rPr>
        <w:t>，（邮件主题标明“XX大学-XX院系-姓名-夏令营申请”，如：湖南工业大学-土木工程学院-张三-夏令营申请），逾期不再接收申请。</w:t>
      </w:r>
    </w:p>
    <w:p>
      <w:pPr>
        <w:snapToGrid/>
        <w:spacing w:line="566"/>
        <w:ind w:firstLine="555"/>
        <w:rPr/>
      </w:pPr>
      <w:r>
        <w:rPr>
          <w:rFonts w:ascii="仿宋" w:hAnsi="仿宋" w:eastAsia="仿宋" w:cs="仿宋"/>
          <w:b/>
          <w:i w:val="false"/>
          <w:strike w:val="false"/>
          <w:color w:val="323232"/>
          <w:spacing w:val="0"/>
          <w:sz w:val="29"/>
          <w:u w:val="none"/>
        </w:rPr>
        <w:t>4.材料审核及营员选拔</w:t>
      </w:r>
    </w:p>
    <w:p>
      <w:pPr>
        <w:snapToGrid/>
        <w:spacing w:line="566"/>
        <w:ind w:firstLine="555"/>
        <w:rPr/>
      </w:pPr>
      <w:r>
        <w:rPr>
          <w:rFonts w:ascii="仿宋" w:hAnsi="仿宋" w:eastAsia="仿宋" w:cs="仿宋"/>
          <w:i w:val="false"/>
          <w:strike w:val="false"/>
          <w:color w:val="323232"/>
          <w:spacing w:val="0"/>
          <w:sz w:val="29"/>
          <w:u w:val="none"/>
        </w:rPr>
        <w:t>学院将逐一审核申请人提供的各项材料，择优确定夏令营营员名单并报研究生院审核，最终审核通过的夏令营营员名单将于6月28日在学院官网公布（</w:t>
      </w:r>
      <w:r>
        <w:rPr>
          <w:rFonts w:ascii="仿宋" w:hAnsi="仿宋" w:eastAsia="仿宋" w:cs="仿宋"/>
          <w:b/>
          <w:i w:val="false"/>
          <w:strike w:val="false"/>
          <w:color w:val="323232"/>
          <w:spacing w:val="0"/>
          <w:sz w:val="29"/>
          <w:u w:val="none"/>
        </w:rPr>
        <w:t>注：如提前结束报名则提前公布</w:t>
      </w:r>
      <w:r>
        <w:rPr>
          <w:rFonts w:ascii="仿宋" w:hAnsi="仿宋" w:eastAsia="仿宋" w:cs="仿宋"/>
          <w:i w:val="false"/>
          <w:strike w:val="false"/>
          <w:color w:val="323232"/>
          <w:spacing w:val="0"/>
          <w:sz w:val="29"/>
          <w:u w:val="none"/>
        </w:rPr>
        <w:t>）。</w:t>
      </w:r>
    </w:p>
    <w:p>
      <w:pPr>
        <w:snapToGrid/>
        <w:spacing w:line="566"/>
        <w:ind w:firstLine="555"/>
        <w:rPr/>
      </w:pPr>
      <w:r>
        <w:rPr>
          <w:rFonts w:ascii="黑体" w:hAnsi="黑体" w:eastAsia="黑体" w:cs="黑体"/>
          <w:i w:val="false"/>
          <w:strike w:val="false"/>
          <w:color w:val="323232"/>
          <w:spacing w:val="0"/>
          <w:sz w:val="29"/>
          <w:u w:val="none"/>
        </w:rPr>
        <w:t>四、活动安排</w:t>
      </w:r>
    </w:p>
    <w:p>
      <w:pPr>
        <w:snapToGrid/>
        <w:spacing w:line="566"/>
        <w:ind w:firstLine="555"/>
        <w:rPr/>
      </w:pPr>
      <w:r>
        <w:rPr>
          <w:rFonts w:ascii="仿宋" w:hAnsi="仿宋" w:eastAsia="仿宋" w:cs="仿宋"/>
          <w:i w:val="false"/>
          <w:strike w:val="false"/>
          <w:color w:val="323232"/>
          <w:spacing w:val="0"/>
          <w:sz w:val="29"/>
          <w:u w:val="none"/>
        </w:rPr>
        <w:t>本次夏令营采取线下形式进行，具体安排包括：</w:t>
      </w:r>
    </w:p>
    <w:p>
      <w:pPr>
        <w:snapToGrid/>
        <w:spacing w:line="566"/>
        <w:ind w:firstLine="555"/>
        <w:rPr/>
      </w:pPr>
      <w:r>
        <w:rPr>
          <w:rFonts w:ascii="仿宋" w:hAnsi="仿宋" w:eastAsia="仿宋" w:cs="仿宋"/>
          <w:b/>
          <w:i w:val="false"/>
          <w:strike w:val="false"/>
          <w:color w:val="323232"/>
          <w:spacing w:val="0"/>
          <w:sz w:val="29"/>
          <w:u w:val="none"/>
        </w:rPr>
        <w:t>1.开营典礼：</w:t>
      </w:r>
      <w:r>
        <w:rPr>
          <w:rFonts w:ascii="仿宋" w:hAnsi="仿宋" w:eastAsia="仿宋" w:cs="仿宋"/>
          <w:i w:val="false"/>
          <w:strike w:val="false"/>
          <w:color w:val="323232"/>
          <w:spacing w:val="0"/>
          <w:sz w:val="29"/>
          <w:u w:val="none"/>
        </w:rPr>
        <w:t>由学校统一组织，主要包括学校学科学院介绍、学位与研究生教育招生专业及方向介绍等。</w:t>
      </w:r>
    </w:p>
    <w:p>
      <w:pPr>
        <w:snapToGrid/>
        <w:spacing w:line="566"/>
        <w:ind w:firstLine="555"/>
        <w:rPr/>
      </w:pPr>
      <w:r>
        <w:rPr>
          <w:rFonts w:ascii="仿宋" w:hAnsi="仿宋" w:eastAsia="仿宋" w:cs="仿宋"/>
          <w:b/>
          <w:i w:val="false"/>
          <w:strike w:val="false"/>
          <w:color w:val="323232"/>
          <w:spacing w:val="0"/>
          <w:sz w:val="29"/>
          <w:u w:val="none"/>
        </w:rPr>
        <w:t>2.讲座与交流：</w:t>
      </w:r>
      <w:r>
        <w:rPr>
          <w:rFonts w:ascii="仿宋" w:hAnsi="仿宋" w:eastAsia="仿宋" w:cs="仿宋"/>
          <w:i w:val="false"/>
          <w:strike w:val="false"/>
          <w:color w:val="323232"/>
          <w:spacing w:val="0"/>
          <w:sz w:val="29"/>
          <w:u w:val="none"/>
        </w:rPr>
        <w:t>专家讲座、师生互动、导师交流等。</w:t>
      </w:r>
    </w:p>
    <w:p>
      <w:pPr>
        <w:snapToGrid/>
        <w:spacing w:line="566"/>
        <w:ind w:firstLine="555"/>
        <w:rPr/>
      </w:pPr>
      <w:r>
        <w:rPr>
          <w:rFonts w:ascii="仿宋" w:hAnsi="仿宋" w:eastAsia="仿宋" w:cs="仿宋"/>
          <w:b/>
          <w:i w:val="false"/>
          <w:strike w:val="false"/>
          <w:color w:val="323232"/>
          <w:spacing w:val="0"/>
          <w:sz w:val="29"/>
          <w:u w:val="none"/>
        </w:rPr>
        <w:t>3.素质拓展：</w:t>
      </w:r>
      <w:r>
        <w:rPr>
          <w:rFonts w:ascii="仿宋" w:hAnsi="仿宋" w:eastAsia="仿宋" w:cs="仿宋"/>
          <w:i w:val="false"/>
          <w:strike w:val="false"/>
          <w:color w:val="323232"/>
          <w:spacing w:val="0"/>
          <w:sz w:val="29"/>
          <w:u w:val="none"/>
        </w:rPr>
        <w:t>户外团建、团队协作、沟通能力、学习能力提升等。</w:t>
      </w:r>
    </w:p>
    <w:p>
      <w:pPr>
        <w:snapToGrid/>
        <w:spacing w:line="566"/>
        <w:ind w:firstLine="555"/>
        <w:rPr/>
      </w:pPr>
      <w:r>
        <w:rPr>
          <w:rFonts w:ascii="仿宋" w:hAnsi="仿宋" w:eastAsia="仿宋" w:cs="仿宋"/>
          <w:b/>
          <w:i w:val="false"/>
          <w:strike w:val="false"/>
          <w:color w:val="323232"/>
          <w:spacing w:val="0"/>
          <w:sz w:val="29"/>
          <w:u w:val="none"/>
        </w:rPr>
        <w:t>4.结业与评优：</w:t>
      </w:r>
      <w:r>
        <w:rPr>
          <w:rFonts w:ascii="仿宋" w:hAnsi="仿宋" w:eastAsia="仿宋" w:cs="仿宋"/>
          <w:i w:val="false"/>
          <w:strike w:val="false"/>
          <w:color w:val="323232"/>
          <w:spacing w:val="0"/>
          <w:sz w:val="29"/>
          <w:u w:val="none"/>
        </w:rPr>
        <w:t>圆满完成夏令营活动者颁发结业证书；表现突出者评选优秀营员。</w:t>
      </w:r>
    </w:p>
    <w:p>
      <w:pPr>
        <w:snapToGrid/>
        <w:spacing w:line="566"/>
        <w:ind w:firstLine="555"/>
        <w:rPr/>
      </w:pPr>
    </w:p>
    <w:p>
      <w:pPr>
        <w:snapToGrid/>
        <w:spacing w:line="566"/>
        <w:ind w:firstLine="555"/>
        <w:rPr/>
      </w:pPr>
      <w:r>
        <w:rPr>
          <w:rFonts w:ascii="黑体" w:hAnsi="黑体" w:eastAsia="黑体" w:cs="黑体"/>
          <w:i w:val="false"/>
          <w:strike w:val="false"/>
          <w:color w:val="323232"/>
          <w:spacing w:val="0"/>
          <w:sz w:val="29"/>
          <w:u w:val="none"/>
        </w:rPr>
        <w:t>五、政策支持</w:t>
      </w:r>
    </w:p>
    <w:p>
      <w:pPr>
        <w:snapToGrid/>
        <w:spacing w:line="566"/>
        <w:ind w:firstLine="555"/>
        <w:rPr/>
      </w:pPr>
      <w:r>
        <w:rPr>
          <w:rFonts w:ascii="仿宋" w:hAnsi="仿宋" w:eastAsia="仿宋" w:cs="仿宋"/>
          <w:b/>
          <w:i w:val="false"/>
          <w:strike w:val="false"/>
          <w:color w:val="323232"/>
          <w:spacing w:val="0"/>
          <w:sz w:val="29"/>
          <w:u w:val="none"/>
        </w:rPr>
        <w:t>1.学习保障：</w:t>
      </w:r>
      <w:r>
        <w:rPr>
          <w:rFonts w:ascii="仿宋" w:hAnsi="仿宋" w:eastAsia="仿宋" w:cs="仿宋"/>
          <w:i w:val="false"/>
          <w:strike w:val="false"/>
          <w:color w:val="323232"/>
          <w:spacing w:val="0"/>
          <w:sz w:val="29"/>
          <w:u w:val="none"/>
        </w:rPr>
        <w:t>学院安排资深专业教师担任班主任，安排导师对接营员，安排成长辅导员。</w:t>
      </w:r>
    </w:p>
    <w:p>
      <w:pPr>
        <w:snapToGrid/>
        <w:spacing w:line="566"/>
        <w:ind w:firstLine="555"/>
        <w:rPr/>
      </w:pPr>
      <w:r>
        <w:rPr>
          <w:rFonts w:ascii="仿宋" w:hAnsi="仿宋" w:eastAsia="仿宋" w:cs="仿宋"/>
          <w:b/>
          <w:i w:val="false"/>
          <w:strike w:val="false"/>
          <w:color w:val="323232"/>
          <w:spacing w:val="0"/>
          <w:sz w:val="29"/>
          <w:u w:val="none"/>
        </w:rPr>
        <w:t>2.食宿安排：</w:t>
      </w:r>
      <w:r>
        <w:rPr>
          <w:rFonts w:ascii="仿宋" w:hAnsi="仿宋" w:eastAsia="仿宋" w:cs="仿宋"/>
          <w:i w:val="false"/>
          <w:strike w:val="false"/>
          <w:color w:val="323232"/>
          <w:spacing w:val="0"/>
          <w:sz w:val="29"/>
          <w:u w:val="none"/>
        </w:rPr>
        <w:t>学校为所有营员提供免费用餐（餐标：50元/天）；为所有校外营员提供免费住宿（双标或单间）；为所有营员免费提供统一着装（文化衫）。</w:t>
      </w:r>
    </w:p>
    <w:p>
      <w:pPr>
        <w:snapToGrid/>
        <w:spacing w:line="566"/>
        <w:ind w:firstLine="555"/>
        <w:rPr/>
      </w:pPr>
      <w:r>
        <w:rPr>
          <w:rFonts w:ascii="仿宋" w:hAnsi="仿宋" w:eastAsia="仿宋" w:cs="仿宋"/>
          <w:b/>
          <w:i w:val="false"/>
          <w:strike w:val="false"/>
          <w:color w:val="323232"/>
          <w:spacing w:val="0"/>
          <w:sz w:val="29"/>
          <w:u w:val="none"/>
        </w:rPr>
        <w:t>3.交通补助：</w:t>
      </w:r>
      <w:r>
        <w:rPr>
          <w:rFonts w:ascii="仿宋" w:hAnsi="仿宋" w:eastAsia="仿宋" w:cs="仿宋"/>
          <w:i w:val="false"/>
          <w:strike w:val="false"/>
          <w:color w:val="323232"/>
          <w:spacing w:val="0"/>
          <w:sz w:val="29"/>
          <w:u w:val="none"/>
        </w:rPr>
        <w:t>为鼓励校外高校大学生报名，对省外高校营员提供150元交通补助，对省内校外营员提供75元交通补助。</w:t>
      </w:r>
    </w:p>
    <w:p>
      <w:pPr>
        <w:snapToGrid/>
        <w:spacing w:line="566"/>
        <w:ind w:firstLine="555"/>
        <w:rPr/>
      </w:pPr>
      <w:r>
        <w:rPr>
          <w:rFonts w:ascii="仿宋" w:hAnsi="仿宋" w:eastAsia="仿宋" w:cs="仿宋"/>
          <w:b/>
          <w:i w:val="false"/>
          <w:strike w:val="false"/>
          <w:color w:val="323232"/>
          <w:spacing w:val="0"/>
          <w:sz w:val="29"/>
          <w:u w:val="none"/>
        </w:rPr>
        <w:t>4.安全保障：</w:t>
      </w:r>
      <w:r>
        <w:rPr>
          <w:rFonts w:ascii="仿宋" w:hAnsi="仿宋" w:eastAsia="仿宋" w:cs="仿宋"/>
          <w:i w:val="false"/>
          <w:strike w:val="false"/>
          <w:color w:val="323232"/>
          <w:spacing w:val="0"/>
          <w:sz w:val="29"/>
          <w:u w:val="none"/>
        </w:rPr>
        <w:t>为全体营员购买意外伤害保险。</w:t>
      </w:r>
    </w:p>
    <w:p>
      <w:pPr>
        <w:snapToGrid/>
        <w:spacing w:line="566"/>
        <w:ind w:firstLine="555"/>
        <w:rPr/>
      </w:pPr>
      <w:r>
        <w:rPr>
          <w:rFonts w:ascii="仿宋" w:hAnsi="仿宋" w:eastAsia="仿宋" w:cs="仿宋"/>
          <w:b/>
          <w:i w:val="false"/>
          <w:strike w:val="false"/>
          <w:color w:val="323232"/>
          <w:spacing w:val="0"/>
          <w:sz w:val="29"/>
          <w:u w:val="none"/>
        </w:rPr>
        <w:t>5.录取优惠：</w:t>
      </w:r>
      <w:r>
        <w:rPr>
          <w:rFonts w:ascii="仿宋" w:hAnsi="仿宋" w:eastAsia="仿宋" w:cs="仿宋"/>
          <w:i w:val="false"/>
          <w:strike w:val="false"/>
          <w:color w:val="323232"/>
          <w:spacing w:val="0"/>
          <w:sz w:val="29"/>
          <w:u w:val="none"/>
        </w:rPr>
        <w:t>对于取得推免资格的优秀营员在同等条件下可优先获得我校2025年推免生拟录取资格；对于未取得推免资格的优秀营员，报名参加2025年全国硕士研究生招生考试、第一志愿报考我校且初试成绩达到报考专业复试分数线的，同等条件下优先录取。</w:t>
      </w:r>
    </w:p>
    <w:p>
      <w:pPr>
        <w:snapToGrid/>
        <w:spacing w:line="566"/>
        <w:ind w:firstLine="555"/>
        <w:rPr/>
      </w:pPr>
      <w:r>
        <w:rPr>
          <w:rFonts w:ascii="黑体" w:hAnsi="黑体" w:eastAsia="黑体" w:cs="黑体"/>
          <w:i w:val="false"/>
          <w:strike w:val="false"/>
          <w:color w:val="323232"/>
          <w:spacing w:val="0"/>
          <w:sz w:val="29"/>
          <w:u w:val="none"/>
        </w:rPr>
        <w:t>六、联系方式</w:t>
      </w:r>
    </w:p>
    <w:p>
      <w:pPr>
        <w:snapToGrid/>
        <w:spacing w:line="566"/>
        <w:ind w:firstLine="555"/>
        <w:rPr/>
      </w:pPr>
      <w:r>
        <w:rPr>
          <w:rFonts w:ascii="仿宋" w:hAnsi="仿宋" w:eastAsia="仿宋" w:cs="仿宋"/>
          <w:i w:val="false"/>
          <w:strike w:val="false"/>
          <w:color w:val="323232"/>
          <w:spacing w:val="0"/>
          <w:sz w:val="29"/>
          <w:u w:val="none"/>
        </w:rPr>
        <w:t>交流QQ群：</w:t>
      </w:r>
      <w:r>
        <w:rPr>
          <w:rFonts w:ascii="仿宋" w:hAnsi="仿宋" w:eastAsia="仿宋" w:cs="仿宋"/>
          <w:i w:val="false"/>
          <w:strike w:val="false"/>
          <w:color w:val="323232"/>
          <w:spacing w:val="0"/>
          <w:sz w:val="29"/>
          <w:u w:val="single"/>
        </w:rPr>
        <w:t>490338828</w:t>
      </w:r>
      <w:r>
        <w:rPr>
          <w:rFonts w:ascii="仿宋" w:hAnsi="仿宋" w:eastAsia="仿宋" w:cs="仿宋"/>
          <w:i w:val="false"/>
          <w:strike w:val="false"/>
          <w:color w:val="323232"/>
          <w:spacing w:val="0"/>
          <w:sz w:val="29"/>
          <w:u w:val="none"/>
        </w:rPr>
        <w:t>；请实名（格式：“XX大学-XX院系-姓名”，如：湖南工业大学-土木工程学院-张三）加入“信息与电气工程学院2024年学术夏令营”QQ群。</w:t>
      </w:r>
    </w:p>
    <w:p>
      <w:pPr>
        <w:snapToGrid/>
        <w:spacing w:line="566"/>
        <w:ind w:firstLine="555"/>
        <w:rPr/>
      </w:pPr>
      <w:r>
        <w:rPr>
          <w:rFonts w:ascii="仿宋" w:hAnsi="仿宋" w:eastAsia="仿宋" w:cs="仿宋"/>
          <w:i w:val="false"/>
          <w:strike w:val="false"/>
          <w:color w:val="323232"/>
          <w:spacing w:val="0"/>
          <w:sz w:val="29"/>
          <w:u w:val="none"/>
        </w:rPr>
        <w:t>通讯地址：湖南省湘潭市雨湖区湖南科技大学信息与电气工程学院信息楼409室</w:t>
      </w:r>
    </w:p>
    <w:p>
      <w:pPr>
        <w:snapToGrid/>
        <w:spacing w:line="566"/>
        <w:ind w:firstLine="555"/>
        <w:rPr/>
      </w:pPr>
      <w:r>
        <w:rPr>
          <w:rFonts w:ascii="仿宋" w:hAnsi="仿宋" w:eastAsia="仿宋" w:cs="仿宋"/>
          <w:i w:val="false"/>
          <w:strike w:val="false"/>
          <w:color w:val="323232"/>
          <w:spacing w:val="0"/>
          <w:sz w:val="29"/>
          <w:u w:val="none"/>
        </w:rPr>
        <w:t>邮  编：411201</w:t>
      </w:r>
    </w:p>
    <w:p>
      <w:pPr>
        <w:snapToGrid/>
        <w:spacing w:line="566"/>
        <w:ind w:firstLine="555"/>
        <w:rPr/>
      </w:pPr>
      <w:r>
        <w:rPr>
          <w:rFonts w:ascii="仿宋" w:hAnsi="仿宋" w:eastAsia="仿宋" w:cs="仿宋"/>
          <w:i w:val="false"/>
          <w:strike w:val="false"/>
          <w:color w:val="323232"/>
          <w:spacing w:val="0"/>
          <w:sz w:val="29"/>
          <w:u w:val="none"/>
        </w:rPr>
        <w:t>电  话：（0731）58290727、58290318</w:t>
      </w:r>
    </w:p>
    <w:p>
      <w:pPr>
        <w:snapToGrid/>
        <w:spacing w:line="566"/>
        <w:ind w:firstLine="555"/>
        <w:rPr/>
      </w:pPr>
      <w:r>
        <w:rPr>
          <w:rFonts w:ascii="仿宋" w:hAnsi="仿宋" w:eastAsia="仿宋" w:cs="仿宋"/>
          <w:i w:val="false"/>
          <w:strike w:val="false"/>
          <w:color w:val="323232"/>
          <w:spacing w:val="0"/>
          <w:sz w:val="29"/>
          <w:u w:val="none"/>
        </w:rPr>
        <w:t>联系人：喻老师、唐老师</w:t>
      </w:r>
    </w:p>
    <w:p>
      <w:pPr>
        <w:snapToGrid/>
        <w:spacing w:line="240"/>
        <w:ind w:firstLine="480"/>
        <w:rPr/>
      </w:pPr>
      <w:r>
        <w:rPr>
          <w:rFonts w:ascii="微软雅黑" w:hAnsi="微软雅黑" w:cs="微软雅黑"/>
          <w:b/>
          <w:i w:val="false"/>
          <w:strike w:val="false"/>
          <w:color w:val="323232"/>
          <w:spacing w:val="0"/>
          <w:sz w:val="24"/>
          <w:u w:val="none"/>
        </w:rPr>
        <w:t>附件：</w:t>
      </w:r>
      <w:r>
        <w:rPr/>
        <w:fldChar w:fldCharType="begin"/>
      </w:r>
      <w:r>
        <w:rPr/>
        <w:instrText>HYPERLINK https://xinxi.hnust.edu.cn/docs/2024-06/a79351629b2845359306490eab7be9b1.docx normalLink \tdft \tdfe -10 \tdfid \tddp \tdop \tdlt inline \tdds \tdfvi \tdlf \l \tdsub normalLink \tdkey fmjhnt \tdkey fmjhnt</w:instrText>
      </w:r>
      <w:r>
        <w:rPr/>
        <w:fldChar w:fldCharType="separate"/>
      </w:r>
      <w:r>
        <w:rPr>
          <w:rStyle w:val="000016"/>
          <w:color/>
        </w:rPr>
        <w:t>湖南科技大学信息与电气工程学院2024年大学生学术夏令营申请表</w:t>
      </w:r>
      <w:r>
        <w:rPr/>
        <w:fldChar w:fldCharType="end"/>
      </w:r>
    </w:p>
    <w:p>
      <w:pPr>
        <w:snapToGrid/>
        <w:spacing w:line="566"/>
        <w:ind w:firstLine="555"/>
        <w:jc w:val="right"/>
        <w:rPr/>
      </w:pPr>
      <w:r>
        <w:rPr>
          <w:rFonts w:ascii="微软雅黑" w:hAnsi="微软雅黑" w:cs="微软雅黑"/>
          <w:i w:val="false"/>
          <w:strike w:val="false"/>
          <w:color w:val="323232"/>
          <w:spacing w:val="0"/>
          <w:sz w:val="29"/>
          <w:u w:val="none"/>
        </w:rPr>
        <w:t>湖南科技大学信息与电气工程学院</w:t>
      </w:r>
    </w:p>
    <w:p>
      <w:pPr>
        <w:snapToGrid/>
        <w:spacing w:line="240"/>
        <w:ind w:hanging="0"/>
        <w:jc w:val="right"/>
        <w:rPr/>
      </w:pPr>
      <w:r>
        <w:rPr>
          <w:rFonts w:ascii="微软雅黑" w:hAnsi="微软雅黑" w:cs="微软雅黑"/>
          <w:i w:val="false"/>
          <w:strike w:val="false"/>
          <w:color w:val="323232"/>
          <w:spacing w:val="0"/>
          <w:sz w:val="29"/>
          <w:u w:val="none"/>
        </w:rPr>
        <w:t>2024年6月18日</w:t>
      </w:r>
    </w:p>
    <w:p>
      <w:pPr>
        <w:snapToGrid/>
        <w:spacing w:line="240"/>
        <w:ind w:hanging="0"/>
        <w:rPr/>
      </w:pPr>
    </w:p>
    <w:p>
      <w:pPr>
        <w:snapToGrid/>
        <w:spacing w:line="240"/>
        <w:ind/>
        <w:rPr/>
      </w:pPr>
    </w:p>
    <w:p>
      <w:pPr>
        <w:pStyle w:val="000003"/>
        <w:snapToGrid/>
        <w:spacing w:before="300" w:after="0" w:line="240"/>
        <w:ind w:left="0" w:right="0" w:hanging="0"/>
        <w:jc w:val="center"/>
        <w:rPr/>
      </w:pPr>
      <w:r>
        <w:rPr>
          <w:rFonts w:ascii="微软雅黑" w:hAnsi="微软雅黑" w:cs="微软雅黑"/>
          <w:b/>
          <w:i w:val="false"/>
          <w:strike w:val="false"/>
          <w:color w:val="014888"/>
          <w:spacing w:val="0"/>
          <w:sz w:val="64"/>
          <w:u w:val="none"/>
        </w:rPr>
        <w:t>计算机科学与工程学院 推荐优秀应届本科毕业生免试攻读硕士学位研究生工作细则</w:t>
      </w:r>
    </w:p>
    <w:p>
      <w:pPr>
        <w:snapToGrid/>
        <w:spacing w:before="156" w:after="156" w:line="560"/>
        <w:ind w:left="0" w:right="0" w:hanging="0"/>
        <w:jc w:val="center"/>
        <w:rPr/>
      </w:pPr>
      <w:r>
        <w:rPr>
          <w:rFonts w:ascii="黑体" w:hAnsi="黑体" w:eastAsia="黑体" w:cs="黑体"/>
          <w:i w:val="false"/>
          <w:strike w:val="false"/>
          <w:color w:val="323232"/>
          <w:spacing w:val="0"/>
          <w:sz w:val="32"/>
          <w:u w:val="none"/>
        </w:rPr>
        <w:t>一、组织管理</w:t>
      </w:r>
    </w:p>
    <w:p>
      <w:pPr>
        <w:snapToGrid/>
        <w:spacing w:before="0" w:after="0" w:line="320"/>
        <w:ind w:left="0" w:right="0" w:firstLine="200"/>
        <w:rPr/>
      </w:pPr>
      <w:r>
        <w:rPr>
          <w:rFonts w:ascii="仿宋_gb2312" w:hAnsi="仿宋_gb2312" w:cs="仿宋_gb2312"/>
          <w:b/>
          <w:i w:val="false"/>
          <w:strike w:val="false"/>
          <w:color w:val="323232"/>
          <w:spacing w:val="0"/>
          <w:sz w:val="32"/>
          <w:u w:val="none"/>
          <w:shd w:val="clear" w:color="auto" w:fill="FFFFFF"/>
        </w:rPr>
        <w:t xml:space="preserve">第一条 </w:t>
      </w:r>
      <w:r>
        <w:rPr>
          <w:rFonts w:ascii="仿宋_gb2312" w:hAnsi="仿宋_gb2312" w:cs="仿宋_gb2312"/>
          <w:i w:val="false"/>
          <w:strike w:val="false"/>
          <w:color w:val="323232"/>
          <w:spacing w:val="0"/>
          <w:sz w:val="32"/>
          <w:u w:val="none"/>
          <w:shd w:val="clear" w:color="auto" w:fill="FFFFFF"/>
        </w:rPr>
        <w:t>学院成立推荐工作小组和专家审核小组。</w:t>
      </w:r>
    </w:p>
    <w:p>
      <w:pPr>
        <w:snapToGrid/>
        <w:spacing w:before="0" w:after="0" w:line="320"/>
        <w:ind w:left="0" w:right="0" w:firstLine="640"/>
        <w:rPr/>
      </w:pPr>
      <w:r>
        <w:rPr>
          <w:rFonts w:ascii="仿宋_gb2312" w:hAnsi="仿宋_gb2312" w:cs="仿宋_gb2312"/>
          <w:i w:val="false"/>
          <w:strike w:val="false"/>
          <w:color w:val="323232"/>
          <w:spacing w:val="0"/>
          <w:sz w:val="32"/>
          <w:u w:val="none"/>
          <w:shd w:val="clear" w:color="auto" w:fill="FFFFFF"/>
        </w:rPr>
        <w:t>推荐工作领导小组成员如下：</w:t>
      </w:r>
    </w:p>
    <w:p>
      <w:pPr>
        <w:snapToGrid/>
        <w:spacing w:before="0" w:after="0" w:line="560"/>
        <w:ind w:left="640" w:right="0" w:hanging="0"/>
        <w:jc w:val="both"/>
        <w:rPr/>
      </w:pPr>
      <w:r>
        <w:rPr>
          <w:rFonts w:ascii="仿宋_gb2312" w:hAnsi="仿宋_gb2312" w:cs="仿宋_gb2312"/>
          <w:i w:val="false"/>
          <w:strike w:val="false"/>
          <w:color w:val="323232"/>
          <w:spacing w:val="0"/>
          <w:sz w:val="32"/>
          <w:u w:val="none"/>
        </w:rPr>
        <w:t>组长：梁伟、黄伟</w:t>
      </w:r>
    </w:p>
    <w:p>
      <w:pPr>
        <w:snapToGrid/>
        <w:spacing w:before="0" w:after="0" w:line="560"/>
        <w:ind w:left="640" w:right="0" w:hanging="0"/>
        <w:jc w:val="both"/>
        <w:rPr/>
      </w:pPr>
      <w:r>
        <w:rPr>
          <w:rFonts w:ascii="仿宋_gb2312" w:hAnsi="仿宋_gb2312" w:cs="仿宋_gb2312"/>
          <w:i w:val="false"/>
          <w:strike w:val="false"/>
          <w:color w:val="323232"/>
          <w:spacing w:val="0"/>
          <w:sz w:val="32"/>
          <w:u w:val="none"/>
        </w:rPr>
        <w:t>副组长：张世文、王方</w:t>
      </w:r>
    </w:p>
    <w:p>
      <w:pPr>
        <w:snapToGrid/>
        <w:spacing w:before="0" w:after="0" w:line="560"/>
        <w:ind w:left="640" w:right="0" w:hanging="0"/>
        <w:jc w:val="both"/>
        <w:rPr/>
      </w:pPr>
      <w:r>
        <w:rPr>
          <w:rFonts w:ascii="仿宋_gb2312" w:hAnsi="仿宋_gb2312" w:cs="仿宋_gb2312"/>
          <w:i w:val="false"/>
          <w:strike w:val="false"/>
          <w:color w:val="323232"/>
          <w:spacing w:val="0"/>
          <w:sz w:val="32"/>
          <w:u w:val="none"/>
        </w:rPr>
        <w:t>成员：廖俊国、王晓亮、姜磊、丁湘陵、陈林书、陈宇翔、廖璟、余庆春、孙亚鹏、王艺蓉、向德生</w:t>
      </w:r>
    </w:p>
    <w:p>
      <w:pPr>
        <w:snapToGrid/>
        <w:spacing w:before="0" w:after="0" w:line="560"/>
        <w:ind w:left="640" w:right="0" w:hanging="0"/>
        <w:jc w:val="both"/>
        <w:rPr/>
      </w:pPr>
      <w:r>
        <w:rPr>
          <w:rFonts w:ascii="仿宋_gb2312" w:hAnsi="仿宋_gb2312" w:cs="仿宋_gb2312"/>
          <w:i w:val="false"/>
          <w:strike w:val="false"/>
          <w:color w:val="323232"/>
          <w:spacing w:val="0"/>
          <w:sz w:val="32"/>
          <w:u w:val="none"/>
        </w:rPr>
        <w:t>专家审核小组基本构成原则如下：</w:t>
      </w:r>
    </w:p>
    <w:p>
      <w:pPr>
        <w:snapToGrid/>
        <w:spacing w:before="0" w:after="0" w:line="560"/>
        <w:ind w:left="640" w:right="0" w:hanging="0"/>
        <w:jc w:val="both"/>
        <w:rPr/>
      </w:pPr>
      <w:r>
        <w:rPr>
          <w:rFonts w:ascii="仿宋_gb2312" w:hAnsi="仿宋_gb2312" w:cs="仿宋_gb2312"/>
          <w:i w:val="false"/>
          <w:strike w:val="false"/>
          <w:color w:val="323232"/>
          <w:spacing w:val="0"/>
          <w:sz w:val="32"/>
          <w:u w:val="none"/>
        </w:rPr>
        <w:t>组长：教学副院长</w:t>
      </w:r>
    </w:p>
    <w:p>
      <w:pPr>
        <w:snapToGrid/>
        <w:spacing w:before="0" w:after="0" w:line="560"/>
        <w:ind w:left="640" w:right="0" w:hanging="0"/>
        <w:jc w:val="both"/>
        <w:rPr/>
      </w:pPr>
      <w:r>
        <w:rPr>
          <w:rFonts w:ascii="仿宋_gb2312" w:hAnsi="仿宋_gb2312" w:cs="仿宋_gb2312"/>
          <w:i w:val="false"/>
          <w:strike w:val="false"/>
          <w:color w:val="323232"/>
          <w:spacing w:val="0"/>
          <w:sz w:val="32"/>
          <w:u w:val="none"/>
        </w:rPr>
        <w:t>副组长：学院党委副书记</w:t>
      </w:r>
    </w:p>
    <w:p>
      <w:pPr>
        <w:snapToGrid/>
        <w:spacing w:before="0" w:after="0" w:line="560"/>
        <w:ind w:left="640" w:right="0" w:hanging="0"/>
        <w:jc w:val="both"/>
        <w:rPr/>
      </w:pPr>
      <w:r>
        <w:rPr>
          <w:rFonts w:ascii="仿宋_gb2312" w:hAnsi="仿宋_gb2312" w:cs="仿宋_gb2312"/>
          <w:i w:val="false"/>
          <w:strike w:val="false"/>
          <w:color w:val="323232"/>
          <w:spacing w:val="0"/>
          <w:sz w:val="32"/>
          <w:u w:val="none"/>
        </w:rPr>
        <w:t>成员：各系部负责人及教师代表（副高以上职称）</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推荐工作小组须依据公开、公平、公正的基本原则，广泛征求师生意见，制定本学院的《推荐优秀应届本科毕业生免试攻读硕士学位研究生工作细则》（以下简称“推荐细则”），作为本单位开展推荐工作的实施依据。“推荐细则”应科学、规范、明确，包括基本要求、推荐类型及名额分配办法、考核比例、最终成绩计算办法和排名规则等内容，经学院推荐工作小组审定并公示，报学校推免生遴选工作领导小组备案后实施。</w:t>
      </w:r>
    </w:p>
    <w:p>
      <w:pPr>
        <w:snapToGrid/>
        <w:spacing w:before="156" w:after="156" w:line="560"/>
        <w:ind w:left="0" w:right="0" w:hanging="0"/>
        <w:jc w:val="center"/>
        <w:rPr/>
      </w:pPr>
      <w:r>
        <w:rPr>
          <w:rFonts w:ascii="黑体" w:hAnsi="黑体" w:eastAsia="黑体" w:cs="黑体"/>
          <w:i w:val="false"/>
          <w:strike w:val="false"/>
          <w:color w:val="323232"/>
          <w:spacing w:val="0"/>
          <w:sz w:val="32"/>
          <w:u w:val="none"/>
        </w:rPr>
        <w:t>二、推荐条件与要求</w:t>
      </w:r>
    </w:p>
    <w:p>
      <w:pPr>
        <w:snapToGrid/>
        <w:spacing w:before="0" w:after="0" w:line="560"/>
        <w:ind w:left="0" w:right="0" w:firstLine="643"/>
        <w:jc w:val="both"/>
        <w:rPr/>
      </w:pPr>
      <w:r>
        <w:rPr>
          <w:rFonts w:ascii="仿宋_gb2312" w:hAnsi="仿宋_gb2312" w:cs="仿宋_gb2312"/>
          <w:b/>
          <w:i w:val="false"/>
          <w:strike w:val="false"/>
          <w:color w:val="323232"/>
          <w:spacing w:val="0"/>
          <w:sz w:val="32"/>
          <w:u w:val="none"/>
        </w:rPr>
        <w:t>第二条</w:t>
      </w:r>
      <w:r>
        <w:rPr>
          <w:rFonts w:ascii="仿宋_gb2312" w:hAnsi="仿宋_gb2312" w:cs="仿宋_gb2312"/>
          <w:i w:val="false"/>
          <w:strike w:val="false"/>
          <w:color w:val="323232"/>
          <w:spacing w:val="0"/>
          <w:sz w:val="32"/>
          <w:u w:val="none"/>
        </w:rPr>
        <w:t xml:space="preserve"> 推免生工作应坚持在德、智、体、美全面衡量的基础上综合测评，实行择优选拔，从具备下列基本条件的学生中推荐：</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（一）纳入国家普通本科招生计划录取的应届毕业生（不含中职专业课教师公费定向师范生等特殊招生类别、专升本、第二学士学位、独立学院学生）；</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（二）具有高尚的爱国主义情操和集体主义精神，社会主义信念坚定，社会责任感强，遵纪守法，积极向上，身心健康；</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（三）勤奋学习，刻苦钻研，成绩优秀；学术研究兴趣浓厚，有较强的创新意识、创新能力和专业能力倾向；</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（四）诚实守信，学风端正，无任何考试作弊和剽窃他人学术成果记录；</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（五）品行表现优良，无任何违法违纪受处分记录；</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（六）身体健康，符合规定的体检标准，并达到国家规定的体育锻炼要求。</w:t>
      </w:r>
    </w:p>
    <w:p>
      <w:pPr>
        <w:snapToGrid/>
        <w:spacing w:before="0" w:after="0" w:line="560"/>
        <w:ind w:left="0" w:right="0" w:firstLine="643"/>
        <w:jc w:val="both"/>
        <w:rPr/>
      </w:pPr>
      <w:r>
        <w:rPr>
          <w:rFonts w:ascii="仿宋_gb2312" w:hAnsi="仿宋_gb2312" w:cs="仿宋_gb2312"/>
          <w:b/>
          <w:i w:val="false"/>
          <w:strike w:val="false"/>
          <w:color w:val="323232"/>
          <w:spacing w:val="0"/>
          <w:sz w:val="32"/>
          <w:u w:val="none"/>
        </w:rPr>
        <w:t xml:space="preserve">第三条 </w:t>
      </w:r>
      <w:r>
        <w:rPr>
          <w:rFonts w:ascii="仿宋_gb2312" w:hAnsi="仿宋_gb2312" w:cs="仿宋_gb2312"/>
          <w:i w:val="false"/>
          <w:strike w:val="false"/>
          <w:color w:val="323232"/>
          <w:spacing w:val="0"/>
          <w:sz w:val="32"/>
          <w:u w:val="none"/>
        </w:rPr>
        <w:t>推荐的学生在满足第二条的前提下，还须满足以下条件：</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（一）修完本专业培养方案规定的前三年的全部课程并取得学分；</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（二）通过全国大学英语CET-4级考试且成绩≥450 分（710 分制）或通过CET-6级考试且成绩≥425 分或雅思成绩6.0分及以上或TOFEL成绩 80 分及以上；未修英语的学生应通过小语种考试，其成绩需要达到与英语对应的等级（例如，大学日语四级考试且成绩≥65分或通过日语能力测试N3级及以上等级）。</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（三）2024年(2021级学生)学院推免前，如有CCF CSP认证考试，则必须参加且历次考试成绩中有超过150分；如无CCF CSP认证考试，则该条款（即参加CCF CSP认证考试且成绩≥150分）从2024年（2021级学生）开始执行；</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四）前三年所修全部课程（公共选修课除外）平均学分绩点在本年级专业排名前20%以内;在校期间，在政府组织的学科竞赛中获得国家级奖励或确有特殊学术专长或对学校有特别贡献的学生,经学院推荐工作领导小组认定，报学校批准后，所修课程平均学分绩点在本年级专业排名可放宽至前30%-40%。</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（五）要求学生在推免工作进行期间，必须在校。如果需要外出，必须向主管院领导请假，经批准后方可外出。未经请假或请假手续不全而私自外出者，以及其他违纪者，取消推免资格。</w:t>
      </w:r>
    </w:p>
    <w:p>
      <w:pPr>
        <w:snapToGrid/>
        <w:spacing w:before="156" w:after="156" w:line="560"/>
        <w:ind w:left="0" w:right="0" w:hanging="0"/>
        <w:jc w:val="center"/>
        <w:rPr/>
      </w:pPr>
      <w:r>
        <w:rPr>
          <w:rFonts w:ascii="黑体" w:hAnsi="黑体" w:eastAsia="黑体" w:cs="黑体"/>
          <w:i w:val="false"/>
          <w:strike w:val="false"/>
          <w:color w:val="323232"/>
          <w:spacing w:val="0"/>
          <w:sz w:val="32"/>
          <w:u w:val="none"/>
        </w:rPr>
        <w:t>三、名额分配</w:t>
      </w:r>
    </w:p>
    <w:p>
      <w:pPr>
        <w:snapToGrid/>
        <w:spacing w:before="0" w:after="0" w:line="560"/>
        <w:ind w:left="0" w:right="0" w:firstLine="640"/>
        <w:jc w:val="both"/>
        <w:rPr/>
      </w:pPr>
      <w:r>
        <w:rPr>
          <w:rFonts w:ascii="仿宋_gb2312" w:hAnsi="仿宋_gb2312" w:cs="仿宋_gb2312"/>
          <w:b/>
          <w:i w:val="false"/>
          <w:strike w:val="false"/>
          <w:color w:val="323232"/>
          <w:spacing w:val="0"/>
          <w:sz w:val="32"/>
          <w:u w:val="none"/>
        </w:rPr>
        <w:t>第四条</w:t>
      </w:r>
      <w:r>
        <w:rPr>
          <w:rFonts w:ascii="仿宋_gb2312" w:hAnsi="仿宋_gb2312" w:cs="仿宋_gb2312"/>
          <w:i w:val="false"/>
          <w:strike w:val="false"/>
          <w:color w:val="323232"/>
          <w:spacing w:val="0"/>
          <w:sz w:val="32"/>
          <w:u w:val="none"/>
        </w:rPr>
        <w:t xml:space="preserve"> 学院推免生工作小组根据当年学校下达的推免生名额进行合理分配，其分配方式按如下顺序进行。</w:t>
      </w:r>
    </w:p>
    <w:p>
      <w:pPr>
        <w:snapToGrid/>
        <w:spacing w:before="0" w:after="0" w:line="560"/>
        <w:ind w:left="1720" w:right="0" w:hanging="1080"/>
        <w:jc w:val="both"/>
        <w:rPr/>
      </w:pPr>
      <w:r>
        <w:rPr>
          <w:rFonts w:ascii="仿宋_gb2312" w:hAnsi="仿宋_gb2312" w:cs="仿宋_gb2312"/>
          <w:i w:val="false"/>
          <w:strike w:val="false"/>
          <w:color w:val="323232"/>
          <w:spacing w:val="0"/>
          <w:sz w:val="32"/>
          <w:u w:val="none"/>
        </w:rPr>
        <w:t>（1）</w:t>
      </w:r>
      <w:r>
        <w:rPr>
          <w:rFonts w:ascii="times new roman" w:hAnsi="times new roman" w:cs="times new roman"/>
          <w:i w:val="false"/>
          <w:strike w:val="false"/>
          <w:color w:val="323232"/>
          <w:spacing w:val="0"/>
          <w:sz w:val="14"/>
          <w:u w:val="none"/>
        </w:rPr>
        <w:t xml:space="preserve"> </w:t>
      </w:r>
      <w:r>
        <w:rPr>
          <w:rFonts w:ascii="仿宋_gb2312" w:hAnsi="仿宋_gb2312" w:cs="仿宋_gb2312"/>
          <w:i w:val="false"/>
          <w:strike w:val="false"/>
          <w:color w:val="323232"/>
          <w:spacing w:val="0"/>
          <w:sz w:val="32"/>
          <w:u w:val="none"/>
        </w:rPr>
        <w:t>学院各专业推荐人数不少于所在专业本科毕业生人数1%的向下取整或1人。</w:t>
      </w:r>
    </w:p>
    <w:p>
      <w:pPr>
        <w:snapToGrid/>
        <w:spacing w:before="0" w:after="0" w:line="560"/>
        <w:ind w:left="1720" w:right="0" w:hanging="1080"/>
        <w:jc w:val="both"/>
        <w:rPr/>
      </w:pPr>
      <w:r>
        <w:rPr>
          <w:rFonts w:ascii="仿宋_gb2312" w:hAnsi="仿宋_gb2312" w:cs="仿宋_gb2312"/>
          <w:i w:val="false"/>
          <w:strike w:val="false"/>
          <w:color w:val="323232"/>
          <w:spacing w:val="0"/>
          <w:sz w:val="32"/>
          <w:u w:val="none"/>
        </w:rPr>
        <w:t>（2）</w:t>
      </w:r>
      <w:r>
        <w:rPr>
          <w:rFonts w:ascii="times new roman" w:hAnsi="times new roman" w:cs="times new roman"/>
          <w:i w:val="false"/>
          <w:strike w:val="false"/>
          <w:color w:val="323232"/>
          <w:spacing w:val="0"/>
          <w:sz w:val="14"/>
          <w:u w:val="none"/>
        </w:rPr>
        <w:t xml:space="preserve"> </w:t>
      </w:r>
      <w:r>
        <w:rPr>
          <w:rFonts w:ascii="仿宋_gb2312" w:hAnsi="仿宋_gb2312" w:cs="仿宋_gb2312"/>
          <w:i w:val="false"/>
          <w:strike w:val="false"/>
          <w:color w:val="323232"/>
          <w:spacing w:val="0"/>
          <w:sz w:val="32"/>
          <w:u w:val="none"/>
        </w:rPr>
        <w:t>在保证第（1）条后，剩余名额按综合成绩在全院所有专业进行排名分配。学校下达的名额有较大变动时，由学院院务委员会讨论决定名额分配办法。</w:t>
      </w:r>
    </w:p>
    <w:p>
      <w:pPr>
        <w:snapToGrid/>
        <w:spacing w:before="156" w:after="156" w:line="560"/>
        <w:ind w:left="0" w:right="0" w:hanging="0"/>
        <w:jc w:val="center"/>
        <w:rPr/>
      </w:pPr>
      <w:r>
        <w:rPr>
          <w:rFonts w:ascii="黑体" w:hAnsi="黑体" w:eastAsia="黑体" w:cs="黑体"/>
          <w:i w:val="false"/>
          <w:strike w:val="false"/>
          <w:color w:val="323232"/>
          <w:spacing w:val="0"/>
          <w:sz w:val="32"/>
          <w:u w:val="none"/>
        </w:rPr>
        <w:t>四、综合测评办法</w:t>
      </w:r>
    </w:p>
    <w:p>
      <w:pPr>
        <w:snapToGrid/>
        <w:spacing w:before="0" w:after="0" w:line="560"/>
        <w:ind w:left="0" w:right="0" w:firstLine="643"/>
        <w:jc w:val="both"/>
        <w:rPr/>
      </w:pPr>
      <w:r>
        <w:rPr>
          <w:rFonts w:ascii="仿宋_gb2312" w:hAnsi="仿宋_gb2312" w:cs="仿宋_gb2312"/>
          <w:b/>
          <w:i w:val="false"/>
          <w:strike w:val="false"/>
          <w:color w:val="323232"/>
          <w:spacing w:val="0"/>
          <w:sz w:val="32"/>
          <w:u w:val="none"/>
        </w:rPr>
        <w:t xml:space="preserve">第五条 </w:t>
      </w:r>
      <w:r>
        <w:rPr>
          <w:rFonts w:ascii="仿宋_gb2312" w:hAnsi="仿宋_gb2312" w:cs="仿宋_gb2312"/>
          <w:i w:val="false"/>
          <w:strike w:val="false"/>
          <w:color w:val="323232"/>
          <w:spacing w:val="0"/>
          <w:sz w:val="32"/>
          <w:u w:val="none"/>
        </w:rPr>
        <w:t>满足推免生申请条件的学生为推荐免试攻读硕士学位研究生候选人，由学院推免工作小组组织对候选人进行综合测评，根据综合测评得分从高到低排序，确定推荐初选名单（综合测评指标体系见表一）。</w:t>
      </w:r>
    </w:p>
    <w:p>
      <w:pPr>
        <w:snapToGrid/>
        <w:spacing w:before="0" w:after="156" w:line="560"/>
        <w:ind w:left="0" w:right="0" w:firstLine="480"/>
        <w:jc w:val="center"/>
        <w:rPr/>
      </w:pPr>
      <w:r>
        <w:rPr>
          <w:rFonts w:ascii="仿宋_gb2312" w:hAnsi="仿宋_gb2312" w:cs="仿宋_gb2312"/>
          <w:i w:val="false"/>
          <w:strike w:val="false"/>
          <w:color w:val="323232"/>
          <w:spacing w:val="0"/>
          <w:sz w:val="24"/>
          <w:u w:val="none"/>
        </w:rPr>
        <w:t>表一 计算机科学与工程学院推免生综合测评指标体系</w:t>
      </w:r>
    </w:p>
    <w:tbl>
      <w:tblPr>
        <w:tblStyle w:val="000015"/>
        <w:tblLayout w:type="fixed"/>
      </w:tblPr>
      <w:tblGrid>
        <w:gridCol w:w="1215"/>
        <w:gridCol w:w="1140"/>
        <w:gridCol w:w="870"/>
        <w:gridCol w:w="2715"/>
        <w:gridCol w:w="1770"/>
      </w:tblGrid>
      <w:tr>
        <w:trPr>
          <w:trHeight w:val="442"/>
        </w:trPr>
        <w:tc>
          <w:tcPr>
            <w:tcW w:w="12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jc w:val="center"/>
              <w:rPr/>
            </w:pPr>
            <w:r>
              <w:rPr>
                <w:rFonts w:ascii="仿宋_gb2312" w:hAnsi="仿宋_gb2312" w:cs="仿宋_gb2312"/>
                <w:i w:val="false"/>
                <w:strike w:val="false"/>
                <w:color w:val="323232"/>
                <w:spacing w:val="0"/>
                <w:sz w:val="21"/>
                <w:u w:val="none"/>
                <w:vertAlign w:val="baseline"/>
              </w:rPr>
              <w:t>综合测评分</w:t>
            </w:r>
          </w:p>
        </w:tc>
        <w:tc>
          <w:tcPr>
            <w:tcW w:w="11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jc w:val="center"/>
              <w:rPr/>
            </w:pPr>
            <w:r>
              <w:rPr>
                <w:rFonts w:ascii="仿宋_gb2312" w:hAnsi="仿宋_gb2312" w:cs="仿宋_gb2312"/>
                <w:i w:val="false"/>
                <w:strike w:val="false"/>
                <w:color w:val="323232"/>
                <w:spacing w:val="0"/>
                <w:sz w:val="21"/>
                <w:u w:val="none"/>
                <w:vertAlign w:val="baseline"/>
              </w:rPr>
              <w:t>基本要素</w:t>
            </w:r>
          </w:p>
        </w:tc>
        <w:tc>
          <w:tcPr>
            <w:tcW w:w="87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jc w:val="center"/>
              <w:rPr/>
            </w:pPr>
            <w:r>
              <w:rPr>
                <w:rFonts w:ascii="仿宋_gb2312" w:hAnsi="仿宋_gb2312" w:cs="仿宋_gb2312"/>
                <w:i w:val="false"/>
                <w:strike w:val="false"/>
                <w:color w:val="323232"/>
                <w:spacing w:val="0"/>
                <w:sz w:val="21"/>
                <w:u w:val="none"/>
                <w:vertAlign w:val="baseline"/>
              </w:rPr>
              <w:t>权重</w:t>
            </w:r>
          </w:p>
        </w:tc>
        <w:tc>
          <w:tcPr>
            <w:tcW w:w="27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jc w:val="center"/>
              <w:rPr/>
            </w:pPr>
            <w:r>
              <w:rPr>
                <w:rFonts w:ascii="仿宋_gb2312" w:hAnsi="仿宋_gb2312" w:cs="仿宋_gb2312"/>
                <w:i w:val="false"/>
                <w:strike w:val="false"/>
                <w:color w:val="323232"/>
                <w:spacing w:val="0"/>
                <w:sz w:val="21"/>
                <w:u w:val="none"/>
                <w:vertAlign w:val="baseline"/>
              </w:rPr>
              <w:t>测评内容</w:t>
            </w:r>
          </w:p>
        </w:tc>
        <w:tc>
          <w:tcPr>
            <w:tcW w:w="177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jc w:val="center"/>
              <w:rPr/>
            </w:pPr>
            <w:r>
              <w:rPr>
                <w:rFonts w:ascii="仿宋_gb2312" w:hAnsi="仿宋_gb2312" w:cs="仿宋_gb2312"/>
                <w:i w:val="false"/>
                <w:strike w:val="false"/>
                <w:color w:val="323232"/>
                <w:spacing w:val="0"/>
                <w:sz w:val="21"/>
                <w:u w:val="none"/>
                <w:vertAlign w:val="baseline"/>
              </w:rPr>
              <w:t>测评信息来源</w:t>
            </w:r>
          </w:p>
        </w:tc>
      </w:tr>
      <w:tr>
        <w:trPr>
          <w:trHeight w:val="622"/>
        </w:trPr>
        <w:tc>
          <w:tcPr>
            <w:tcW w:w="1215" w:type="dxa"/>
            <w:vMerge w:val="restart"/>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jc w:val="center"/>
              <w:rPr/>
            </w:pPr>
            <w:r>
              <w:rPr>
                <w:rFonts w:ascii="仿宋_gb2312" w:hAnsi="仿宋_gb2312" w:cs="仿宋_gb2312"/>
                <w:i w:val="false"/>
                <w:strike w:val="false"/>
                <w:color w:val="323232"/>
                <w:spacing w:val="0"/>
                <w:sz w:val="21"/>
                <w:u w:val="none"/>
                <w:vertAlign w:val="baseline"/>
              </w:rPr>
              <w:t>综合测</w:t>
            </w:r>
          </w:p>
          <w:p>
            <w:pPr>
              <w:snapToGrid/>
              <w:spacing w:before="0" w:after="0" w:line="240"/>
              <w:ind w:left="0" w:right="0"/>
              <w:jc w:val="center"/>
              <w:rPr/>
            </w:pPr>
            <w:r>
              <w:rPr>
                <w:rFonts w:ascii="仿宋_gb2312" w:hAnsi="仿宋_gb2312" w:cs="仿宋_gb2312"/>
                <w:i w:val="false"/>
                <w:strike w:val="false"/>
                <w:color w:val="323232"/>
                <w:spacing w:val="0"/>
                <w:sz w:val="21"/>
                <w:u w:val="none"/>
                <w:vertAlign w:val="baseline"/>
              </w:rPr>
              <w:t>评分</w:t>
            </w:r>
          </w:p>
        </w:tc>
        <w:tc>
          <w:tcPr>
            <w:tcW w:w="11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jc w:val="center"/>
              <w:rPr/>
            </w:pPr>
            <w:r>
              <w:rPr>
                <w:rFonts w:ascii="仿宋_gb2312" w:hAnsi="仿宋_gb2312" w:cs="仿宋_gb2312"/>
                <w:i w:val="false"/>
                <w:strike w:val="false"/>
                <w:color w:val="323232"/>
                <w:spacing w:val="0"/>
                <w:sz w:val="21"/>
                <w:u w:val="none"/>
                <w:vertAlign w:val="baseline"/>
              </w:rPr>
              <w:t>学业成绩分</w:t>
            </w:r>
          </w:p>
        </w:tc>
        <w:tc>
          <w:tcPr>
            <w:tcW w:w="87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jc w:val="center"/>
              <w:rPr/>
            </w:pPr>
            <w:r>
              <w:rPr>
                <w:rFonts w:ascii="仿宋_gb2312" w:hAnsi="仿宋_gb2312" w:cs="仿宋_gb2312"/>
                <w:i w:val="false"/>
                <w:strike w:val="false"/>
                <w:color w:val="323232"/>
                <w:spacing w:val="0"/>
                <w:sz w:val="21"/>
                <w:u w:val="none"/>
                <w:vertAlign w:val="baseline"/>
              </w:rPr>
              <w:t>0.85</w:t>
            </w:r>
          </w:p>
        </w:tc>
        <w:tc>
          <w:tcPr>
            <w:tcW w:w="27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jc w:val="center"/>
              <w:rPr/>
            </w:pPr>
            <w:r>
              <w:rPr>
                <w:rFonts w:ascii="仿宋_gb2312" w:hAnsi="仿宋_gb2312" w:cs="仿宋_gb2312"/>
                <w:i w:val="false"/>
                <w:strike w:val="false"/>
                <w:color w:val="323232"/>
                <w:spacing w:val="0"/>
                <w:sz w:val="21"/>
                <w:u w:val="none"/>
                <w:vertAlign w:val="baseline"/>
              </w:rPr>
              <w:t>前6学期所修全部课程平均学分绩点</w:t>
            </w:r>
          </w:p>
        </w:tc>
        <w:tc>
          <w:tcPr>
            <w:tcW w:w="177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jc w:val="center"/>
              <w:rPr/>
            </w:pPr>
            <w:r>
              <w:rPr>
                <w:rFonts w:ascii="仿宋_gb2312" w:hAnsi="仿宋_gb2312" w:cs="仿宋_gb2312"/>
                <w:i w:val="false"/>
                <w:strike w:val="false"/>
                <w:color w:val="323232"/>
                <w:spacing w:val="0"/>
                <w:sz w:val="21"/>
                <w:u w:val="none"/>
                <w:vertAlign w:val="baseline"/>
              </w:rPr>
              <w:t>由学校教务系统</w:t>
            </w:r>
          </w:p>
          <w:p>
            <w:pPr>
              <w:snapToGrid/>
              <w:spacing w:before="0" w:after="0" w:line="240"/>
              <w:ind w:left="0" w:right="0"/>
              <w:jc w:val="center"/>
              <w:rPr/>
            </w:pPr>
            <w:r>
              <w:rPr>
                <w:rFonts w:ascii="仿宋_gb2312" w:hAnsi="仿宋_gb2312" w:cs="仿宋_gb2312"/>
                <w:i w:val="false"/>
                <w:strike w:val="false"/>
                <w:color w:val="323232"/>
                <w:spacing w:val="0"/>
                <w:sz w:val="21"/>
                <w:u w:val="none"/>
                <w:vertAlign w:val="baseline"/>
              </w:rPr>
              <w:t>统计。</w:t>
            </w:r>
          </w:p>
        </w:tc>
      </w:tr>
      <w:tr>
        <w:trPr>
          <w:trHeight w:val="769"/>
        </w:trPr>
        <w:tc>
          <w:tcPr>
            <w:tcW w:w="1215" w:type="dxa"/>
            <w:vMerge w:val="continue"/>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line="240"/>
              <w:ind/>
              <w:rPr/>
            </w:pPr>
          </w:p>
        </w:tc>
        <w:tc>
          <w:tcPr>
            <w:tcW w:w="11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jc w:val="center"/>
              <w:rPr/>
            </w:pPr>
            <w:r>
              <w:rPr>
                <w:rFonts w:ascii="仿宋_gb2312" w:hAnsi="仿宋_gb2312" w:cs="仿宋_gb2312"/>
                <w:i w:val="false"/>
                <w:strike w:val="false"/>
                <w:color w:val="323232"/>
                <w:spacing w:val="0"/>
                <w:sz w:val="21"/>
                <w:u w:val="none"/>
                <w:vertAlign w:val="baseline"/>
              </w:rPr>
              <w:t>附加分</w:t>
            </w:r>
          </w:p>
        </w:tc>
        <w:tc>
          <w:tcPr>
            <w:tcW w:w="87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jc w:val="center"/>
              <w:rPr/>
            </w:pPr>
            <w:r>
              <w:rPr>
                <w:rFonts w:ascii="仿宋_gb2312" w:hAnsi="仿宋_gb2312" w:cs="仿宋_gb2312"/>
                <w:i w:val="false"/>
                <w:strike w:val="false"/>
                <w:color w:val="323232"/>
                <w:spacing w:val="0"/>
                <w:sz w:val="21"/>
                <w:u w:val="none"/>
                <w:vertAlign w:val="baseline"/>
              </w:rPr>
              <w:t>0.15</w:t>
            </w:r>
          </w:p>
        </w:tc>
        <w:tc>
          <w:tcPr>
            <w:tcW w:w="27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jc w:val="center"/>
              <w:rPr/>
            </w:pPr>
            <w:r>
              <w:rPr>
                <w:rFonts w:ascii="仿宋_gb2312" w:hAnsi="仿宋_gb2312" w:cs="仿宋_gb2312"/>
                <w:i w:val="false"/>
                <w:strike w:val="false"/>
                <w:color w:val="323232"/>
                <w:spacing w:val="0"/>
                <w:sz w:val="21"/>
                <w:u w:val="none"/>
                <w:vertAlign w:val="baseline"/>
              </w:rPr>
              <w:t>学术竞赛与大学生创新性实验项目类；创新能力类；专业水平认证类；社会工作类</w:t>
            </w:r>
          </w:p>
        </w:tc>
        <w:tc>
          <w:tcPr>
            <w:tcW w:w="177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jc w:val="center"/>
              <w:rPr/>
            </w:pPr>
            <w:r>
              <w:rPr>
                <w:rFonts w:ascii="仿宋_gb2312" w:hAnsi="仿宋_gb2312" w:cs="仿宋_gb2312"/>
                <w:i w:val="false"/>
                <w:strike w:val="false"/>
                <w:color w:val="323232"/>
                <w:spacing w:val="0"/>
                <w:sz w:val="21"/>
                <w:u w:val="none"/>
                <w:vertAlign w:val="baseline"/>
              </w:rPr>
              <w:t>学生提供佐证材料，由学院推免工作小组认定。</w:t>
            </w:r>
          </w:p>
        </w:tc>
      </w:tr>
    </w:tbl>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（一）综合测评要素</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推免生综合测评指标体系见表一。综合测评分由学业成绩分和附加分两部分组成，学业成绩分占85%，附加分占15%。附加分包括学生在科研能力、创新精神、创新能力、专业能力倾向以及在校期间参军入伍服兵役、参加志愿服务、到国际组织实习情况等情况中取得的成绩。综合测评分计算方法如下：</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综合测评分=学业成绩分 + 附加分。</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（二）学业成绩分计算办法</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学业成绩分总分为85分，具体计算方法为：</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课程平均学分绩点得分=候选人前三年实际平均全部课程学分绩点/所属年级专业最高平均学分绩点×100×0.85。</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（三）附加分计算办法</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附加分总分为15分，具体计算方法为：</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获得ACM-ICPC国际大学生程序设计竞赛区域赛金奖及以上奖励1次，参赛团队成员中可有1人直接获得附加分15分（由指导老师负责协调选定），其余成员对该项成果仍可按计算规则正常加分。</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1.其它如有具备下列条件之一者，附加分亦直接计为15分。</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（1）参加CCF CSP认证能力考试且成绩450分以上者。</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（2）在CCF推荐的英文A类国际期刊或英文A类学术会议上（研究长文），以第一作者、本校为第一署名单位公开发表学术论文者。</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2.采用分类计分并求和的方法。分学术竞赛与大学生创新性实验项目、创新能力、专业水平认证、社会工作四个类别进行附加分计算。其中，学术竞赛与大学生创新性实验项目类总分为6分，创新能力类总分为5分，专业水平认证类总分3分，社会工作类总分为1分。不同类别分数设置封顶的上限，上限即为该类别总分，当某一类别分数累加超过上限时，分数按该类别总分计算。具体计算方法如下：</w:t>
      </w:r>
    </w:p>
    <w:p>
      <w:pPr>
        <w:snapToGrid/>
        <w:spacing w:before="0" w:after="0" w:line="560"/>
        <w:ind w:left="0" w:right="0" w:hanging="0"/>
        <w:jc w:val="both"/>
        <w:rPr/>
      </w:pPr>
      <w:r>
        <w:rPr>
          <w:rFonts w:ascii="仿宋_gb2312" w:hAnsi="仿宋_gb2312" w:cs="仿宋_gb2312"/>
          <w:i w:val="false"/>
          <w:strike w:val="false"/>
          <w:color w:val="323232"/>
          <w:spacing w:val="0"/>
          <w:sz w:val="32"/>
          <w:u w:val="none"/>
        </w:rPr>
        <w:t>（1）学术竞赛与大学生创新性实验项目类计分办法如表二所示。</w:t>
      </w:r>
    </w:p>
    <w:p>
      <w:pPr>
        <w:snapToGrid/>
        <w:spacing w:before="0" w:after="0" w:line="360"/>
        <w:ind w:left="0" w:right="0" w:firstLine="480"/>
        <w:jc w:val="center"/>
        <w:rPr/>
      </w:pPr>
      <w:r>
        <w:rPr>
          <w:rFonts w:ascii="仿宋_gb2312" w:hAnsi="仿宋_gb2312" w:cs="仿宋_gb2312"/>
          <w:i w:val="false"/>
          <w:strike w:val="false"/>
          <w:color w:val="323232"/>
          <w:spacing w:val="0"/>
          <w:sz w:val="24"/>
          <w:u w:val="none"/>
        </w:rPr>
        <w:t>表二 学术竞赛与大学生创新性实验项目类</w:t>
      </w:r>
    </w:p>
    <w:tbl>
      <w:tblPr>
        <w:tblStyle w:val="000015"/>
        <w:tblLayout w:type="fixed"/>
      </w:tblPr>
      <w:tblGrid>
        <w:gridCol w:w="6540"/>
        <w:gridCol w:w="1530"/>
      </w:tblGrid>
      <w:tr>
        <w:trPr>
          <w:trHeight w:val="283"/>
        </w:trPr>
        <w:tc>
          <w:tcPr>
            <w:tcW w:w="65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rPr/>
            </w:pPr>
            <w:r>
              <w:rPr>
                <w:rFonts w:ascii="仿宋_gb2312" w:hAnsi="仿宋_gb2312" w:cs="仿宋_gb2312"/>
                <w:i w:val="false"/>
                <w:strike w:val="false"/>
                <w:color w:val="323232"/>
                <w:spacing w:val="0"/>
                <w:sz w:val="24"/>
                <w:u w:val="none"/>
                <w:vertAlign w:val="baseline"/>
              </w:rPr>
              <w:t>获奖级别</w:t>
            </w:r>
          </w:p>
        </w:tc>
        <w:tc>
          <w:tcPr>
            <w:tcW w:w="153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jc w:val="center"/>
              <w:rPr/>
            </w:pPr>
            <w:r>
              <w:rPr>
                <w:rFonts w:ascii="仿宋_gb2312" w:hAnsi="仿宋_gb2312" w:cs="仿宋_gb2312"/>
                <w:i w:val="false"/>
                <w:strike w:val="false"/>
                <w:color w:val="323232"/>
                <w:spacing w:val="0"/>
                <w:sz w:val="24"/>
                <w:u w:val="none"/>
                <w:vertAlign w:val="baseline"/>
              </w:rPr>
              <w:t>分值/次或篇</w:t>
            </w:r>
          </w:p>
        </w:tc>
      </w:tr>
      <w:tr>
        <w:trPr>
          <w:trHeight w:val="457"/>
        </w:trPr>
        <w:tc>
          <w:tcPr>
            <w:tcW w:w="65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rPr/>
            </w:pPr>
            <w:r>
              <w:rPr>
                <w:rFonts w:ascii="仿宋_gb2312" w:hAnsi="仿宋_gb2312" w:cs="仿宋_gb2312"/>
                <w:i w:val="false"/>
                <w:strike w:val="false"/>
                <w:color w:val="323232"/>
                <w:spacing w:val="0"/>
                <w:sz w:val="24"/>
                <w:u w:val="none"/>
                <w:vertAlign w:val="baseline"/>
              </w:rPr>
              <w:t>国际级一等奖</w:t>
            </w:r>
          </w:p>
        </w:tc>
        <w:tc>
          <w:tcPr>
            <w:tcW w:w="153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rPr/>
            </w:pPr>
            <w:r>
              <w:rPr>
                <w:rFonts w:ascii="仿宋_gb2312" w:hAnsi="仿宋_gb2312" w:cs="仿宋_gb2312"/>
                <w:i w:val="false"/>
                <w:strike w:val="false"/>
                <w:color w:val="323232"/>
                <w:spacing w:val="0"/>
                <w:sz w:val="24"/>
                <w:u w:val="none"/>
                <w:vertAlign w:val="baseline"/>
              </w:rPr>
              <w:t>6</w:t>
            </w:r>
          </w:p>
        </w:tc>
      </w:tr>
      <w:tr>
        <w:trPr>
          <w:trHeight w:val="457"/>
        </w:trPr>
        <w:tc>
          <w:tcPr>
            <w:tcW w:w="65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rPr/>
            </w:pPr>
            <w:r>
              <w:rPr>
                <w:rFonts w:ascii="仿宋_gb2312" w:hAnsi="仿宋_gb2312" w:cs="仿宋_gb2312"/>
                <w:i w:val="false"/>
                <w:strike w:val="false"/>
                <w:color w:val="323232"/>
                <w:spacing w:val="0"/>
                <w:sz w:val="24"/>
                <w:u w:val="none"/>
                <w:vertAlign w:val="baseline"/>
              </w:rPr>
              <w:t>国际级二等奖</w:t>
            </w:r>
          </w:p>
        </w:tc>
        <w:tc>
          <w:tcPr>
            <w:tcW w:w="153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rPr/>
            </w:pPr>
            <w:r>
              <w:rPr>
                <w:rFonts w:ascii="仿宋_gb2312" w:hAnsi="仿宋_gb2312" w:cs="仿宋_gb2312"/>
                <w:i w:val="false"/>
                <w:strike w:val="false"/>
                <w:color w:val="323232"/>
                <w:spacing w:val="0"/>
                <w:sz w:val="24"/>
                <w:u w:val="none"/>
                <w:vertAlign w:val="baseline"/>
              </w:rPr>
              <w:t>5</w:t>
            </w:r>
          </w:p>
        </w:tc>
      </w:tr>
      <w:tr>
        <w:trPr>
          <w:trHeight w:val="457"/>
        </w:trPr>
        <w:tc>
          <w:tcPr>
            <w:tcW w:w="65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rPr/>
            </w:pPr>
            <w:r>
              <w:rPr>
                <w:rFonts w:ascii="仿宋_gb2312" w:hAnsi="仿宋_gb2312" w:cs="仿宋_gb2312"/>
                <w:i w:val="false"/>
                <w:strike w:val="false"/>
                <w:color w:val="323232"/>
                <w:spacing w:val="0"/>
                <w:sz w:val="24"/>
                <w:u w:val="none"/>
                <w:vertAlign w:val="baseline"/>
              </w:rPr>
              <w:t>国际级三等奖</w:t>
            </w:r>
          </w:p>
        </w:tc>
        <w:tc>
          <w:tcPr>
            <w:tcW w:w="153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rPr/>
            </w:pPr>
            <w:r>
              <w:rPr>
                <w:rFonts w:ascii="仿宋_gb2312" w:hAnsi="仿宋_gb2312" w:cs="仿宋_gb2312"/>
                <w:i w:val="false"/>
                <w:strike w:val="false"/>
                <w:color w:val="323232"/>
                <w:spacing w:val="0"/>
                <w:sz w:val="24"/>
                <w:u w:val="none"/>
                <w:vertAlign w:val="baseline"/>
              </w:rPr>
              <w:t>4</w:t>
            </w:r>
          </w:p>
        </w:tc>
      </w:tr>
      <w:tr>
        <w:trPr>
          <w:trHeight w:val="457"/>
        </w:trPr>
        <w:tc>
          <w:tcPr>
            <w:tcW w:w="65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rPr/>
            </w:pPr>
            <w:r>
              <w:rPr>
                <w:rFonts w:ascii="仿宋_gb2312" w:hAnsi="仿宋_gb2312" w:cs="仿宋_gb2312"/>
                <w:i w:val="false"/>
                <w:strike w:val="false"/>
                <w:color w:val="323232"/>
                <w:spacing w:val="0"/>
                <w:sz w:val="24"/>
                <w:u w:val="none"/>
                <w:vertAlign w:val="baseline"/>
              </w:rPr>
              <w:t>国家级一等奖</w:t>
            </w:r>
          </w:p>
        </w:tc>
        <w:tc>
          <w:tcPr>
            <w:tcW w:w="153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jc w:val="both"/>
              <w:rPr/>
            </w:pPr>
            <w:r>
              <w:rPr>
                <w:rFonts w:ascii="仿宋_gb2312" w:hAnsi="仿宋_gb2312" w:cs="仿宋_gb2312"/>
                <w:i w:val="false"/>
                <w:strike w:val="false"/>
                <w:color w:val="323232"/>
                <w:spacing w:val="0"/>
                <w:sz w:val="24"/>
                <w:u w:val="none"/>
                <w:vertAlign w:val="baseline"/>
              </w:rPr>
              <w:t>4</w:t>
            </w:r>
          </w:p>
        </w:tc>
      </w:tr>
      <w:tr>
        <w:trPr>
          <w:trHeight w:val="457"/>
        </w:trPr>
        <w:tc>
          <w:tcPr>
            <w:tcW w:w="65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rPr/>
            </w:pPr>
            <w:r>
              <w:rPr>
                <w:rFonts w:ascii="仿宋_gb2312" w:hAnsi="仿宋_gb2312" w:cs="仿宋_gb2312"/>
                <w:i w:val="false"/>
                <w:strike w:val="false"/>
                <w:color w:val="323232"/>
                <w:spacing w:val="0"/>
                <w:sz w:val="24"/>
                <w:u w:val="none"/>
                <w:vertAlign w:val="baseline"/>
              </w:rPr>
              <w:t>国家级二等奖</w:t>
            </w:r>
          </w:p>
        </w:tc>
        <w:tc>
          <w:tcPr>
            <w:tcW w:w="153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jc w:val="both"/>
              <w:rPr/>
            </w:pPr>
            <w:r>
              <w:rPr>
                <w:rFonts w:ascii="仿宋_gb2312" w:hAnsi="仿宋_gb2312" w:cs="仿宋_gb2312"/>
                <w:i w:val="false"/>
                <w:strike w:val="false"/>
                <w:color w:val="323232"/>
                <w:spacing w:val="0"/>
                <w:sz w:val="24"/>
                <w:u w:val="none"/>
                <w:vertAlign w:val="baseline"/>
              </w:rPr>
              <w:t>3</w:t>
            </w:r>
          </w:p>
        </w:tc>
      </w:tr>
      <w:tr>
        <w:trPr>
          <w:trHeight w:val="457"/>
        </w:trPr>
        <w:tc>
          <w:tcPr>
            <w:tcW w:w="65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rPr/>
            </w:pPr>
            <w:r>
              <w:rPr>
                <w:rFonts w:ascii="仿宋_gb2312" w:hAnsi="仿宋_gb2312" w:cs="仿宋_gb2312"/>
                <w:i w:val="false"/>
                <w:strike w:val="false"/>
                <w:color w:val="323232"/>
                <w:spacing w:val="0"/>
                <w:sz w:val="24"/>
                <w:u w:val="none"/>
                <w:vertAlign w:val="baseline"/>
              </w:rPr>
              <w:t>国家级三等奖</w:t>
            </w:r>
          </w:p>
        </w:tc>
        <w:tc>
          <w:tcPr>
            <w:tcW w:w="153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jc w:val="both"/>
              <w:rPr/>
            </w:pPr>
            <w:r>
              <w:rPr>
                <w:rFonts w:ascii="仿宋_gb2312" w:hAnsi="仿宋_gb2312" w:cs="仿宋_gb2312"/>
                <w:i w:val="false"/>
                <w:strike w:val="false"/>
                <w:color w:val="323232"/>
                <w:spacing w:val="0"/>
                <w:sz w:val="24"/>
                <w:u w:val="none"/>
                <w:vertAlign w:val="baseline"/>
              </w:rPr>
              <w:t>2</w:t>
            </w:r>
          </w:p>
        </w:tc>
      </w:tr>
      <w:tr>
        <w:trPr>
          <w:trHeight w:val="457"/>
        </w:trPr>
        <w:tc>
          <w:tcPr>
            <w:tcW w:w="65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rPr/>
            </w:pPr>
            <w:r>
              <w:rPr>
                <w:rFonts w:ascii="仿宋_gb2312" w:hAnsi="仿宋_gb2312" w:cs="仿宋_gb2312"/>
                <w:i w:val="false"/>
                <w:strike w:val="false"/>
                <w:color w:val="323232"/>
                <w:spacing w:val="0"/>
                <w:sz w:val="24"/>
                <w:u w:val="none"/>
                <w:vertAlign w:val="baseline"/>
              </w:rPr>
              <w:t>省级一等奖</w:t>
            </w:r>
          </w:p>
        </w:tc>
        <w:tc>
          <w:tcPr>
            <w:tcW w:w="153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jc w:val="both"/>
              <w:rPr/>
            </w:pPr>
            <w:r>
              <w:rPr>
                <w:rFonts w:ascii="仿宋_gb2312" w:hAnsi="仿宋_gb2312" w:cs="仿宋_gb2312"/>
                <w:i w:val="false"/>
                <w:strike w:val="false"/>
                <w:color w:val="323232"/>
                <w:spacing w:val="0"/>
                <w:sz w:val="24"/>
                <w:u w:val="none"/>
                <w:vertAlign w:val="baseline"/>
              </w:rPr>
              <w:t>3</w:t>
            </w:r>
          </w:p>
        </w:tc>
      </w:tr>
      <w:tr>
        <w:trPr>
          <w:trHeight w:val="457"/>
        </w:trPr>
        <w:tc>
          <w:tcPr>
            <w:tcW w:w="65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rPr/>
            </w:pPr>
            <w:r>
              <w:rPr>
                <w:rFonts w:ascii="仿宋_gb2312" w:hAnsi="仿宋_gb2312" w:cs="仿宋_gb2312"/>
                <w:i w:val="false"/>
                <w:strike w:val="false"/>
                <w:color w:val="323232"/>
                <w:spacing w:val="0"/>
                <w:sz w:val="24"/>
                <w:u w:val="none"/>
                <w:vertAlign w:val="baseline"/>
              </w:rPr>
              <w:t>省级二等奖</w:t>
            </w:r>
          </w:p>
        </w:tc>
        <w:tc>
          <w:tcPr>
            <w:tcW w:w="153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jc w:val="both"/>
              <w:rPr/>
            </w:pPr>
            <w:r>
              <w:rPr>
                <w:rFonts w:ascii="仿宋_gb2312" w:hAnsi="仿宋_gb2312" w:cs="仿宋_gb2312"/>
                <w:i w:val="false"/>
                <w:strike w:val="false"/>
                <w:color w:val="323232"/>
                <w:spacing w:val="0"/>
                <w:sz w:val="24"/>
                <w:u w:val="none"/>
                <w:vertAlign w:val="baseline"/>
              </w:rPr>
              <w:t>2</w:t>
            </w:r>
          </w:p>
        </w:tc>
      </w:tr>
      <w:tr>
        <w:trPr>
          <w:trHeight w:val="457"/>
        </w:trPr>
        <w:tc>
          <w:tcPr>
            <w:tcW w:w="65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rPr/>
            </w:pPr>
            <w:r>
              <w:rPr>
                <w:rFonts w:ascii="仿宋_gb2312" w:hAnsi="仿宋_gb2312" w:cs="仿宋_gb2312"/>
                <w:i w:val="false"/>
                <w:strike w:val="false"/>
                <w:color w:val="323232"/>
                <w:spacing w:val="0"/>
                <w:sz w:val="24"/>
                <w:u w:val="none"/>
                <w:vertAlign w:val="baseline"/>
              </w:rPr>
              <w:t>省级三等奖</w:t>
            </w:r>
          </w:p>
        </w:tc>
        <w:tc>
          <w:tcPr>
            <w:tcW w:w="153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jc w:val="both"/>
              <w:rPr/>
            </w:pPr>
            <w:r>
              <w:rPr>
                <w:rFonts w:ascii="仿宋_gb2312" w:hAnsi="仿宋_gb2312" w:cs="仿宋_gb2312"/>
                <w:i w:val="false"/>
                <w:strike w:val="false"/>
                <w:color w:val="323232"/>
                <w:spacing w:val="0"/>
                <w:sz w:val="24"/>
                <w:u w:val="none"/>
                <w:vertAlign w:val="baseline"/>
              </w:rPr>
              <w:t>1</w:t>
            </w:r>
          </w:p>
        </w:tc>
      </w:tr>
      <w:tr>
        <w:trPr>
          <w:trHeight w:val="457"/>
        </w:trPr>
        <w:tc>
          <w:tcPr>
            <w:tcW w:w="65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rPr/>
            </w:pPr>
            <w:r>
              <w:rPr>
                <w:rFonts w:ascii="仿宋_gb2312" w:hAnsi="仿宋_gb2312" w:cs="仿宋_gb2312"/>
                <w:i w:val="false"/>
                <w:strike w:val="false"/>
                <w:color w:val="323232"/>
                <w:spacing w:val="0"/>
                <w:sz w:val="24"/>
                <w:u w:val="none"/>
                <w:vertAlign w:val="baseline"/>
              </w:rPr>
              <w:t>国家级大学生创新性实验项目</w:t>
            </w:r>
          </w:p>
        </w:tc>
        <w:tc>
          <w:tcPr>
            <w:tcW w:w="153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jc w:val="both"/>
              <w:rPr/>
            </w:pPr>
            <w:r>
              <w:rPr>
                <w:rFonts w:ascii="仿宋_gb2312" w:hAnsi="仿宋_gb2312" w:cs="仿宋_gb2312"/>
                <w:i w:val="false"/>
                <w:strike w:val="false"/>
                <w:color w:val="323232"/>
                <w:spacing w:val="0"/>
                <w:sz w:val="24"/>
                <w:u w:val="none"/>
                <w:vertAlign w:val="baseline"/>
              </w:rPr>
              <w:t>2</w:t>
            </w:r>
          </w:p>
        </w:tc>
      </w:tr>
      <w:tr>
        <w:trPr>
          <w:trHeight w:val="466"/>
        </w:trPr>
        <w:tc>
          <w:tcPr>
            <w:tcW w:w="65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rPr/>
            </w:pPr>
            <w:r>
              <w:rPr>
                <w:rFonts w:ascii="仿宋_gb2312" w:hAnsi="仿宋_gb2312" w:cs="仿宋_gb2312"/>
                <w:i w:val="false"/>
                <w:strike w:val="false"/>
                <w:color w:val="323232"/>
                <w:spacing w:val="0"/>
                <w:sz w:val="24"/>
                <w:u w:val="none"/>
                <w:vertAlign w:val="baseline"/>
              </w:rPr>
              <w:t>省级大学生创新性实验项目</w:t>
            </w:r>
          </w:p>
        </w:tc>
        <w:tc>
          <w:tcPr>
            <w:tcW w:w="153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left="0" w:right="0" w:firstLine="480"/>
              <w:jc w:val="both"/>
              <w:rPr/>
            </w:pPr>
            <w:r>
              <w:rPr>
                <w:rFonts w:ascii="仿宋_gb2312" w:hAnsi="仿宋_gb2312" w:cs="仿宋_gb2312"/>
                <w:i w:val="false"/>
                <w:strike w:val="false"/>
                <w:color w:val="323232"/>
                <w:spacing w:val="0"/>
                <w:sz w:val="24"/>
                <w:u w:val="none"/>
                <w:vertAlign w:val="baseline"/>
              </w:rPr>
              <w:t>1</w:t>
            </w:r>
          </w:p>
        </w:tc>
      </w:tr>
    </w:tbl>
    <w:p>
      <w:pPr>
        <w:snapToGrid/>
        <w:spacing w:before="31" w:after="0" w:line="400"/>
        <w:ind w:left="0" w:right="0" w:hanging="0"/>
        <w:jc w:val="both"/>
        <w:rPr/>
      </w:pPr>
      <w:r>
        <w:rPr>
          <w:rFonts w:ascii="仿宋_gb2312" w:hAnsi="仿宋_gb2312" w:cs="仿宋_gb2312"/>
          <w:i w:val="false"/>
          <w:strike w:val="false"/>
          <w:color w:val="323232"/>
          <w:spacing w:val="0"/>
          <w:sz w:val="24"/>
          <w:u w:val="none"/>
        </w:rPr>
        <w:t>注：① 学术竞赛与大学生创新性实验项目类分数上限为6分。</w:t>
      </w:r>
    </w:p>
    <w:p>
      <w:pPr>
        <w:snapToGrid/>
        <w:spacing w:before="0" w:after="0" w:line="400"/>
        <w:ind w:left="0" w:right="0" w:firstLine="480"/>
        <w:jc w:val="both"/>
        <w:rPr/>
      </w:pPr>
      <w:r>
        <w:rPr>
          <w:rFonts w:ascii="仿宋_gb2312" w:hAnsi="仿宋_gb2312" w:cs="仿宋_gb2312"/>
          <w:i w:val="false"/>
          <w:strike w:val="false"/>
          <w:color w:val="323232"/>
          <w:spacing w:val="0"/>
          <w:sz w:val="24"/>
          <w:u w:val="none"/>
        </w:rPr>
        <w:t>② 团队项目、发表论文等成果如多人署名，则本人得分=该项目分值×【</w:t>
      </w:r>
      <w:r>
        <w:rPr>
          <w:rFonts w:ascii="宋体" w:hAnsi="宋体" w:eastAsia="宋体" w:cs="宋体"/>
          <w:i w:val="false"/>
          <w:strike w:val="false"/>
          <w:color w:val="323232"/>
          <w:spacing w:val="0"/>
          <w:sz w:val="24"/>
          <w:u w:val="none"/>
        </w:rPr>
        <w:t>1-</w:t>
      </w:r>
      <w:r>
        <w:rPr>
          <w:rFonts w:ascii="仿宋_gb2312" w:hAnsi="仿宋_gb2312" w:cs="仿宋_gb2312"/>
          <w:i w:val="false"/>
          <w:strike w:val="false"/>
          <w:color w:val="323232"/>
          <w:spacing w:val="0"/>
          <w:sz w:val="24"/>
          <w:u w:val="none"/>
        </w:rPr>
        <w:t>（本人排名名次-1）/10】。“中国高校计算机大赛-团体程序设计天梯赛”按成绩高低进行排名，根据“前3名-中3名—中2名-后2名”的成绩排序设定4个名次进行得分计算。</w:t>
      </w:r>
    </w:p>
    <w:p>
      <w:pPr>
        <w:snapToGrid/>
        <w:spacing w:before="0" w:after="0" w:line="400"/>
        <w:ind w:left="0" w:right="0" w:firstLine="480"/>
        <w:jc w:val="both"/>
        <w:rPr/>
      </w:pPr>
      <w:r>
        <w:rPr>
          <w:rFonts w:ascii="仿宋_gb2312" w:hAnsi="仿宋_gb2312" w:cs="仿宋_gb2312"/>
          <w:i w:val="false"/>
          <w:strike w:val="false"/>
          <w:color w:val="323232"/>
          <w:spacing w:val="0"/>
          <w:sz w:val="24"/>
          <w:u w:val="none"/>
        </w:rPr>
        <w:t>③ 国际级/国家级/省级竞赛指的是中国高等教育学会组织的《全国普通高校学科竞赛排行榜》所认定的计算机类学科专业竞赛项目（如ACM-ICPC等）或教育主管部门、教指委组织进行的计算机类学科竞赛（如湖南省大学生程序设计竞赛等）；权威的行业协会</w:t>
      </w:r>
      <w:r>
        <w:rPr>
          <w:rFonts w:ascii="times new roman" w:hAnsi="times new roman" w:cs="times new roman"/>
          <w:i w:val="false"/>
          <w:strike w:val="false"/>
          <w:color w:val="323232"/>
          <w:spacing w:val="0"/>
          <w:sz w:val="24"/>
          <w:u w:val="none"/>
        </w:rPr>
        <w:t>/</w:t>
      </w:r>
      <w:r>
        <w:rPr>
          <w:rFonts w:ascii="仿宋_gb2312" w:hAnsi="仿宋_gb2312" w:cs="仿宋_gb2312"/>
          <w:i w:val="false"/>
          <w:strike w:val="false"/>
          <w:color w:val="323232"/>
          <w:spacing w:val="0"/>
          <w:sz w:val="24"/>
          <w:u w:val="none"/>
        </w:rPr>
        <w:t>学会</w:t>
      </w:r>
      <w:r>
        <w:rPr>
          <w:rFonts w:ascii="times new roman" w:hAnsi="times new roman" w:cs="times new roman"/>
          <w:i w:val="false"/>
          <w:strike w:val="false"/>
          <w:color w:val="323232"/>
          <w:spacing w:val="0"/>
          <w:sz w:val="24"/>
          <w:u w:val="none"/>
        </w:rPr>
        <w:t>(</w:t>
      </w:r>
      <w:r>
        <w:rPr>
          <w:rFonts w:ascii="仿宋_gb2312" w:hAnsi="仿宋_gb2312" w:cs="仿宋_gb2312"/>
          <w:i w:val="false"/>
          <w:strike w:val="false"/>
          <w:color w:val="323232"/>
          <w:spacing w:val="0"/>
          <w:sz w:val="24"/>
          <w:u w:val="none"/>
        </w:rPr>
        <w:t>非某协会</w:t>
      </w:r>
      <w:r>
        <w:rPr>
          <w:rFonts w:ascii="times new roman" w:hAnsi="times new roman" w:cs="times new roman"/>
          <w:i w:val="false"/>
          <w:strike w:val="false"/>
          <w:color w:val="323232"/>
          <w:spacing w:val="0"/>
          <w:sz w:val="24"/>
          <w:u w:val="none"/>
        </w:rPr>
        <w:t>/</w:t>
      </w:r>
      <w:r>
        <w:rPr>
          <w:rFonts w:ascii="仿宋_gb2312" w:hAnsi="仿宋_gb2312" w:cs="仿宋_gb2312"/>
          <w:i w:val="false"/>
          <w:strike w:val="false"/>
          <w:color w:val="323232"/>
          <w:spacing w:val="0"/>
          <w:sz w:val="24"/>
          <w:u w:val="none"/>
        </w:rPr>
        <w:t>学会的分会</w:t>
      </w:r>
      <w:r>
        <w:rPr>
          <w:rFonts w:ascii="times new roman" w:hAnsi="times new roman" w:cs="times new roman"/>
          <w:i w:val="false"/>
          <w:strike w:val="false"/>
          <w:color w:val="323232"/>
          <w:spacing w:val="0"/>
          <w:sz w:val="24"/>
          <w:u w:val="none"/>
        </w:rPr>
        <w:t>)</w:t>
      </w:r>
      <w:r>
        <w:rPr>
          <w:rFonts w:ascii="仿宋_gb2312" w:hAnsi="仿宋_gb2312" w:cs="仿宋_gb2312"/>
          <w:i w:val="false"/>
          <w:strike w:val="false"/>
          <w:color w:val="323232"/>
          <w:spacing w:val="0"/>
          <w:sz w:val="24"/>
          <w:u w:val="none"/>
        </w:rPr>
        <w:t>主办的计算机类学科竞赛，按同一类别降低一个级别进行认定，非权威的行业协会</w:t>
      </w:r>
      <w:r>
        <w:rPr>
          <w:rFonts w:ascii="times new roman" w:hAnsi="times new roman" w:cs="times new roman"/>
          <w:i w:val="false"/>
          <w:strike w:val="false"/>
          <w:color w:val="323232"/>
          <w:spacing w:val="0"/>
          <w:sz w:val="24"/>
          <w:u w:val="none"/>
        </w:rPr>
        <w:t>/</w:t>
      </w:r>
      <w:r>
        <w:rPr>
          <w:rFonts w:ascii="仿宋_gb2312" w:hAnsi="仿宋_gb2312" w:cs="仿宋_gb2312"/>
          <w:i w:val="false"/>
          <w:strike w:val="false"/>
          <w:color w:val="323232"/>
          <w:spacing w:val="0"/>
          <w:sz w:val="24"/>
          <w:u w:val="none"/>
        </w:rPr>
        <w:t>学会以及分会举办的比赛不予认可。④ 设有特等奖的竞赛，特等奖按“一等奖”记分，一等奖按“二等奖”记分，二等奖按“三等奖”记分，三等奖及以下不记分。</w:t>
      </w:r>
    </w:p>
    <w:p>
      <w:pPr>
        <w:snapToGrid/>
        <w:spacing w:before="0" w:after="0" w:line="400"/>
        <w:ind w:left="0" w:right="0" w:firstLine="480"/>
        <w:jc w:val="both"/>
        <w:rPr/>
      </w:pPr>
      <w:r>
        <w:rPr>
          <w:rFonts w:ascii="仿宋_gb2312" w:hAnsi="仿宋_gb2312" w:cs="仿宋_gb2312"/>
          <w:i w:val="false"/>
          <w:strike w:val="false"/>
          <w:color w:val="323232"/>
          <w:spacing w:val="0"/>
          <w:sz w:val="24"/>
          <w:u w:val="none"/>
        </w:rPr>
        <w:t>⑤ 未设立一、二、三等奖的竞赛，按名次确定加分，第一名认定为一等奖，第二名认定为二等奖，第三名认定为三等奖，以下名次均不加分。</w:t>
      </w:r>
    </w:p>
    <w:p>
      <w:pPr>
        <w:snapToGrid/>
        <w:spacing w:before="0" w:after="0" w:line="400"/>
        <w:ind w:left="0" w:right="0" w:firstLine="480"/>
        <w:jc w:val="both"/>
        <w:rPr/>
      </w:pPr>
      <w:r>
        <w:rPr>
          <w:rFonts w:ascii="仿宋_gb2312" w:hAnsi="仿宋_gb2312" w:cs="仿宋_gb2312"/>
          <w:i w:val="false"/>
          <w:strike w:val="false"/>
          <w:color w:val="323232"/>
          <w:spacing w:val="0"/>
          <w:sz w:val="24"/>
          <w:u w:val="none"/>
        </w:rPr>
        <w:t>⑥ 同一类竞赛或项目以最高分计入，不累计加分，不同类竞赛或项目得分可累加。如某一学生有程序设计大赛一等奖与三等奖，只按一等奖的分值加分。</w:t>
      </w:r>
    </w:p>
    <w:p>
      <w:pPr>
        <w:snapToGrid/>
        <w:spacing w:before="0" w:after="0" w:line="400"/>
        <w:ind w:left="0" w:right="0" w:firstLine="480"/>
        <w:jc w:val="both"/>
        <w:rPr/>
      </w:pPr>
      <w:r>
        <w:rPr>
          <w:rFonts w:ascii="仿宋_gb2312" w:hAnsi="仿宋_gb2312" w:cs="仿宋_gb2312"/>
          <w:i w:val="false"/>
          <w:strike w:val="false"/>
          <w:color w:val="323232"/>
          <w:spacing w:val="0"/>
          <w:sz w:val="24"/>
          <w:u w:val="none"/>
        </w:rPr>
        <w:t>对获奖的认定，原则上以获奖证书为准，但是比赛组织者官网上已认定的（非公示）也可计算。当存在竞赛所属类别不清楚或其他相关认定方面的问题，由学院推免工作小组会议审定。</w:t>
      </w:r>
    </w:p>
    <w:p>
      <w:pPr>
        <w:snapToGrid/>
        <w:spacing w:before="156" w:after="0" w:line="240"/>
        <w:ind w:left="0" w:right="0" w:hanging="0"/>
        <w:jc w:val="both"/>
        <w:rPr/>
      </w:pPr>
      <w:r>
        <w:rPr>
          <w:rFonts w:ascii="仿宋_gb2312" w:hAnsi="仿宋_gb2312" w:cs="仿宋_gb2312"/>
          <w:i w:val="false"/>
          <w:strike w:val="false"/>
          <w:color w:val="323232"/>
          <w:spacing w:val="0"/>
          <w:sz w:val="32"/>
          <w:u w:val="none"/>
        </w:rPr>
        <w:t>（2）创新能力类计分办法如表三所示。</w:t>
      </w:r>
    </w:p>
    <w:p>
      <w:pPr>
        <w:snapToGrid/>
        <w:spacing w:before="62" w:after="0" w:line="360"/>
        <w:ind w:left="0" w:right="0" w:hanging="0"/>
        <w:jc w:val="center"/>
        <w:rPr/>
      </w:pPr>
      <w:r>
        <w:rPr>
          <w:rFonts w:ascii="仿宋_gb2312" w:hAnsi="仿宋_gb2312" w:cs="仿宋_gb2312"/>
          <w:i w:val="false"/>
          <w:strike w:val="false"/>
          <w:color w:val="323232"/>
          <w:spacing w:val="0"/>
          <w:sz w:val="28"/>
          <w:u w:val="none"/>
        </w:rPr>
        <w:t>表三 创新能力类</w:t>
      </w:r>
    </w:p>
    <w:tbl>
      <w:tblPr>
        <w:tblStyle w:val="000015"/>
        <w:tblLayout w:type="fixed"/>
      </w:tblPr>
      <w:tblGrid>
        <w:gridCol w:w="555"/>
        <w:gridCol w:w="390"/>
        <w:gridCol w:w="375"/>
        <w:gridCol w:w="570"/>
        <w:gridCol w:w="480"/>
        <w:gridCol w:w="540"/>
        <w:gridCol w:w="480"/>
        <w:gridCol w:w="510"/>
        <w:gridCol w:w="405"/>
        <w:gridCol w:w="165"/>
        <w:gridCol w:w="360"/>
        <w:gridCol w:w="360"/>
        <w:gridCol w:w="480"/>
      </w:tblGrid>
      <w:tr>
        <w:trPr/>
        <w:tc>
          <w:tcPr>
            <w:tcW w:w="5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both"/>
              <w:rPr/>
            </w:pPr>
            <w:r>
              <w:rPr>
                <w:rFonts w:ascii="仿宋_gb2312" w:hAnsi="仿宋_gb2312" w:cs="仿宋_gb2312"/>
                <w:i w:val="false"/>
                <w:strike w:val="false"/>
                <w:color w:val="323232"/>
                <w:spacing w:val="0"/>
                <w:sz w:val="24"/>
                <w:u w:val="none"/>
                <w:vertAlign w:val="baseline"/>
              </w:rPr>
              <w:t>项目</w:t>
            </w:r>
          </w:p>
        </w:tc>
        <w:tc>
          <w:tcPr>
            <w:tcW w:w="3750" w:type="dxa"/>
            <w:gridSpan w:val="8"/>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both"/>
              <w:rPr/>
            </w:pPr>
            <w:r>
              <w:rPr>
                <w:rFonts w:ascii="仿宋_gb2312" w:hAnsi="仿宋_gb2312" w:cs="仿宋_gb2312"/>
                <w:i w:val="false"/>
                <w:strike w:val="false"/>
                <w:color w:val="323232"/>
                <w:spacing w:val="0"/>
                <w:sz w:val="24"/>
                <w:u w:val="none"/>
                <w:vertAlign w:val="baseline"/>
              </w:rPr>
              <w:t>国内外期刊会议上发表学术论文</w:t>
            </w:r>
          </w:p>
        </w:tc>
        <w:tc>
          <w:tcPr>
            <w:tcW w:w="525" w:type="dxa"/>
            <w:gridSpan w:val="2"/>
            <w:vMerge w:val="restart"/>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both"/>
              <w:rPr/>
            </w:pPr>
            <w:r>
              <w:rPr>
                <w:rFonts w:ascii="仿宋_gb2312" w:hAnsi="仿宋_gb2312" w:cs="仿宋_gb2312"/>
                <w:i w:val="false"/>
                <w:strike w:val="false"/>
                <w:color w:val="323232"/>
                <w:spacing w:val="0"/>
                <w:sz w:val="24"/>
                <w:u w:val="none"/>
                <w:vertAlign w:val="baseline"/>
              </w:rPr>
              <w:t>进入实审期的发明专利</w:t>
            </w:r>
          </w:p>
        </w:tc>
        <w:tc>
          <w:tcPr>
            <w:tcW w:w="840" w:type="dxa"/>
            <w:gridSpan w:val="2"/>
            <w:vMerge w:val="restart"/>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both"/>
              <w:rPr/>
            </w:pPr>
            <w:r>
              <w:rPr>
                <w:rFonts w:ascii="仿宋_gb2312" w:hAnsi="仿宋_gb2312" w:cs="仿宋_gb2312"/>
                <w:i w:val="false"/>
                <w:strike w:val="false"/>
                <w:color w:val="323232"/>
                <w:spacing w:val="0"/>
                <w:sz w:val="24"/>
                <w:u w:val="none"/>
                <w:vertAlign w:val="baseline"/>
              </w:rPr>
              <w:t>已授权的实用新型专利</w:t>
            </w:r>
          </w:p>
        </w:tc>
      </w:tr>
      <w:tr>
        <w:trPr/>
        <w:tc>
          <w:tcPr>
            <w:tcW w:w="5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both"/>
              <w:rPr/>
            </w:pPr>
            <w:r>
              <w:rPr>
                <w:rFonts w:ascii="仿宋_gb2312" w:hAnsi="仿宋_gb2312" w:cs="仿宋_gb2312"/>
                <w:i w:val="false"/>
                <w:strike w:val="false"/>
                <w:color w:val="323232"/>
                <w:spacing w:val="0"/>
                <w:sz w:val="24"/>
                <w:u w:val="none"/>
                <w:vertAlign w:val="baseline"/>
              </w:rPr>
              <w:t>级别</w:t>
            </w:r>
          </w:p>
        </w:tc>
        <w:tc>
          <w:tcPr>
            <w:tcW w:w="765" w:type="dxa"/>
            <w:gridSpan w:val="2"/>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both"/>
              <w:rPr/>
            </w:pPr>
            <w:r>
              <w:rPr>
                <w:rFonts w:ascii="仿宋_gb2312" w:hAnsi="仿宋_gb2312" w:cs="仿宋_gb2312"/>
                <w:i w:val="false"/>
                <w:strike w:val="false"/>
                <w:color w:val="323232"/>
                <w:spacing w:val="0"/>
                <w:sz w:val="24"/>
                <w:u w:val="none"/>
                <w:vertAlign w:val="baseline"/>
              </w:rPr>
              <w:t>SCI期刊一、二区、CCF-B类英文期刊与会议</w:t>
            </w:r>
          </w:p>
        </w:tc>
        <w:tc>
          <w:tcPr>
            <w:tcW w:w="1050" w:type="dxa"/>
            <w:gridSpan w:val="2"/>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both"/>
              <w:rPr/>
            </w:pPr>
            <w:r>
              <w:rPr>
                <w:rFonts w:ascii="仿宋_gb2312" w:hAnsi="仿宋_gb2312" w:cs="仿宋_gb2312"/>
                <w:i w:val="false"/>
                <w:strike w:val="false"/>
                <w:color w:val="323232"/>
                <w:spacing w:val="0"/>
                <w:sz w:val="24"/>
                <w:u w:val="none"/>
                <w:vertAlign w:val="baseline"/>
              </w:rPr>
              <w:t>SCI期刊三、四区， CCF-C类英文期刊与会议</w:t>
            </w:r>
          </w:p>
        </w:tc>
        <w:tc>
          <w:tcPr>
            <w:tcW w:w="1020" w:type="dxa"/>
            <w:gridSpan w:val="2"/>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both"/>
              <w:rPr/>
            </w:pPr>
            <w:r>
              <w:rPr>
                <w:rFonts w:ascii="仿宋_gb2312" w:hAnsi="仿宋_gb2312" w:cs="仿宋_gb2312"/>
                <w:i w:val="false"/>
                <w:strike w:val="false"/>
                <w:color w:val="323232"/>
                <w:spacing w:val="0"/>
                <w:sz w:val="24"/>
                <w:u w:val="none"/>
                <w:vertAlign w:val="baseline"/>
              </w:rPr>
              <w:t>EI 期刊，CSCD核心期刊、EI检索国际会议</w:t>
            </w:r>
          </w:p>
        </w:tc>
        <w:tc>
          <w:tcPr>
            <w:tcW w:w="915" w:type="dxa"/>
            <w:gridSpan w:val="2"/>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300"/>
              <w:ind w:left="0" w:right="0"/>
              <w:jc w:val="both"/>
              <w:rPr/>
            </w:pPr>
            <w:r>
              <w:rPr>
                <w:rFonts w:ascii="仿宋_gb2312" w:hAnsi="仿宋_gb2312" w:cs="仿宋_gb2312"/>
                <w:i w:val="false"/>
                <w:strike w:val="false"/>
                <w:color w:val="323232"/>
                <w:spacing w:val="0"/>
                <w:sz w:val="24"/>
                <w:u w:val="none"/>
                <w:vertAlign w:val="baseline"/>
              </w:rPr>
              <w:t>省级及以上教研教改论文</w:t>
            </w:r>
          </w:p>
        </w:tc>
        <w:tc>
          <w:tcPr>
            <w:tcW w:w="525" w:type="dxa"/>
            <w:gridSpan w:val="2"/>
            <w:vMerge w:val="continue"/>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line="240"/>
              <w:ind/>
              <w:rPr/>
            </w:pPr>
          </w:p>
        </w:tc>
        <w:tc>
          <w:tcPr>
            <w:tcW w:w="840" w:type="dxa"/>
            <w:gridSpan w:val="2"/>
            <w:vMerge w:val="continue"/>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line="240"/>
              <w:ind/>
              <w:rPr/>
            </w:pPr>
          </w:p>
        </w:tc>
      </w:tr>
      <w:tr>
        <w:trPr/>
        <w:tc>
          <w:tcPr>
            <w:tcW w:w="5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both"/>
              <w:rPr/>
            </w:pPr>
            <w:r>
              <w:rPr>
                <w:rFonts w:ascii="仿宋_gb2312" w:hAnsi="仿宋_gb2312" w:cs="仿宋_gb2312"/>
                <w:i w:val="false"/>
                <w:strike w:val="false"/>
                <w:color w:val="323232"/>
                <w:spacing w:val="0"/>
                <w:sz w:val="24"/>
                <w:u w:val="none"/>
                <w:vertAlign w:val="baseline"/>
              </w:rPr>
              <w:t>排名</w:t>
            </w:r>
          </w:p>
        </w:tc>
        <w:tc>
          <w:tcPr>
            <w:tcW w:w="39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1</w:t>
            </w:r>
          </w:p>
        </w:tc>
        <w:tc>
          <w:tcPr>
            <w:tcW w:w="37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2</w:t>
            </w:r>
          </w:p>
        </w:tc>
        <w:tc>
          <w:tcPr>
            <w:tcW w:w="57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1</w:t>
            </w:r>
          </w:p>
        </w:tc>
        <w:tc>
          <w:tcPr>
            <w:tcW w:w="48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2</w:t>
            </w:r>
          </w:p>
        </w:tc>
        <w:tc>
          <w:tcPr>
            <w:tcW w:w="5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1</w:t>
            </w:r>
          </w:p>
        </w:tc>
        <w:tc>
          <w:tcPr>
            <w:tcW w:w="48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2</w:t>
            </w:r>
          </w:p>
        </w:tc>
        <w:tc>
          <w:tcPr>
            <w:tcW w:w="51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1</w:t>
            </w:r>
          </w:p>
        </w:tc>
        <w:tc>
          <w:tcPr>
            <w:tcW w:w="40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2</w:t>
            </w:r>
          </w:p>
        </w:tc>
        <w:tc>
          <w:tcPr>
            <w:tcW w:w="16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1</w:t>
            </w:r>
          </w:p>
        </w:tc>
        <w:tc>
          <w:tcPr>
            <w:tcW w:w="3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2</w:t>
            </w:r>
          </w:p>
        </w:tc>
        <w:tc>
          <w:tcPr>
            <w:tcW w:w="3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1</w:t>
            </w:r>
          </w:p>
        </w:tc>
        <w:tc>
          <w:tcPr>
            <w:tcW w:w="48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2</w:t>
            </w:r>
          </w:p>
        </w:tc>
      </w:tr>
      <w:tr>
        <w:trPr/>
        <w:tc>
          <w:tcPr>
            <w:tcW w:w="5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both"/>
              <w:rPr/>
            </w:pPr>
            <w:r>
              <w:rPr>
                <w:rFonts w:ascii="仿宋_gb2312" w:hAnsi="仿宋_gb2312" w:cs="仿宋_gb2312"/>
                <w:i w:val="false"/>
                <w:strike w:val="false"/>
                <w:color w:val="323232"/>
                <w:spacing w:val="0"/>
                <w:sz w:val="24"/>
                <w:u w:val="none"/>
                <w:vertAlign w:val="baseline"/>
              </w:rPr>
              <w:t>计分</w:t>
            </w:r>
          </w:p>
        </w:tc>
        <w:tc>
          <w:tcPr>
            <w:tcW w:w="39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5</w:t>
            </w:r>
          </w:p>
        </w:tc>
        <w:tc>
          <w:tcPr>
            <w:tcW w:w="37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2.5</w:t>
            </w:r>
          </w:p>
        </w:tc>
        <w:tc>
          <w:tcPr>
            <w:tcW w:w="57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2.5</w:t>
            </w:r>
          </w:p>
        </w:tc>
        <w:tc>
          <w:tcPr>
            <w:tcW w:w="48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1.25</w:t>
            </w:r>
          </w:p>
        </w:tc>
        <w:tc>
          <w:tcPr>
            <w:tcW w:w="5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1</w:t>
            </w:r>
          </w:p>
        </w:tc>
        <w:tc>
          <w:tcPr>
            <w:tcW w:w="48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0.5</w:t>
            </w:r>
          </w:p>
        </w:tc>
        <w:tc>
          <w:tcPr>
            <w:tcW w:w="51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1</w:t>
            </w:r>
          </w:p>
        </w:tc>
        <w:tc>
          <w:tcPr>
            <w:tcW w:w="40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0.5</w:t>
            </w:r>
          </w:p>
        </w:tc>
        <w:tc>
          <w:tcPr>
            <w:tcW w:w="16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1</w:t>
            </w:r>
          </w:p>
        </w:tc>
        <w:tc>
          <w:tcPr>
            <w:tcW w:w="3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0.5</w:t>
            </w:r>
          </w:p>
        </w:tc>
        <w:tc>
          <w:tcPr>
            <w:tcW w:w="3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0.4</w:t>
            </w:r>
          </w:p>
        </w:tc>
        <w:tc>
          <w:tcPr>
            <w:tcW w:w="48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300"/>
              <w:ind w:left="0" w:right="0"/>
              <w:jc w:val="center"/>
              <w:rPr/>
            </w:pPr>
            <w:r>
              <w:rPr>
                <w:rFonts w:ascii="仿宋_gb2312" w:hAnsi="仿宋_gb2312" w:cs="仿宋_gb2312"/>
                <w:i w:val="false"/>
                <w:strike w:val="false"/>
                <w:color w:val="323232"/>
                <w:spacing w:val="0"/>
                <w:sz w:val="24"/>
                <w:u w:val="none"/>
                <w:vertAlign w:val="baseline"/>
              </w:rPr>
              <w:t>0.2</w:t>
            </w:r>
          </w:p>
        </w:tc>
      </w:tr>
    </w:tbl>
    <w:p>
      <w:pPr>
        <w:snapToGrid/>
        <w:spacing w:before="156" w:after="0" w:line="400"/>
        <w:ind w:left="0" w:right="0" w:hanging="0"/>
        <w:jc w:val="both"/>
        <w:rPr/>
      </w:pPr>
      <w:r>
        <w:rPr>
          <w:rFonts w:ascii="仿宋_gb2312" w:hAnsi="仿宋_gb2312" w:cs="仿宋_gb2312"/>
          <w:i w:val="false"/>
          <w:strike w:val="false"/>
          <w:color w:val="323232"/>
          <w:spacing w:val="0"/>
          <w:sz w:val="24"/>
          <w:u w:val="none"/>
        </w:rPr>
        <w:t>注：创新能力部分上限为</w:t>
      </w:r>
      <w:r>
        <w:rPr>
          <w:rFonts w:ascii="times new roman" w:hAnsi="times new roman" w:cs="times new roman"/>
          <w:i w:val="false"/>
          <w:strike w:val="false"/>
          <w:color w:val="323232"/>
          <w:spacing w:val="0"/>
          <w:sz w:val="24"/>
          <w:u w:val="none"/>
        </w:rPr>
        <w:t>5</w:t>
      </w:r>
      <w:r>
        <w:rPr>
          <w:rFonts w:ascii="仿宋_gb2312" w:hAnsi="仿宋_gb2312" w:cs="仿宋_gb2312"/>
          <w:i w:val="false"/>
          <w:strike w:val="false"/>
          <w:color w:val="323232"/>
          <w:spacing w:val="0"/>
          <w:sz w:val="24"/>
          <w:u w:val="none"/>
        </w:rPr>
        <w:t>分。所取得成果必须以湖南科技大学为第一单位，发表在增刊上的论文不计分。同一级别成果不重复计算，如同时存在第一作者与第二作者的同一级别成果，则按第一作者成果计分。以第二作者署名的不同级别成果，只计算一次，以最高分为准。不同级别成果得分累加后即为创新能力类分数。已授权的实用新型专利最多只认2项。</w:t>
      </w:r>
      <w:r>
        <w:rPr>
          <w:rFonts w:ascii="times new roman" w:hAnsi="times new roman" w:cs="times new roman"/>
          <w:i w:val="false"/>
          <w:strike w:val="false"/>
          <w:color w:val="323232"/>
          <w:spacing w:val="0"/>
          <w:sz w:val="24"/>
          <w:u w:val="none"/>
        </w:rPr>
        <w:t>CCF</w:t>
      </w:r>
      <w:r>
        <w:rPr>
          <w:rFonts w:ascii="仿宋_gb2312" w:hAnsi="仿宋_gb2312" w:cs="仿宋_gb2312"/>
          <w:i w:val="false"/>
          <w:strike w:val="false"/>
          <w:color w:val="323232"/>
          <w:spacing w:val="0"/>
          <w:sz w:val="24"/>
          <w:u w:val="none"/>
        </w:rPr>
        <w:t>推荐的中文期刊按照学校认定的规则认定其加分标准。</w:t>
      </w:r>
    </w:p>
    <w:p>
      <w:pPr>
        <w:snapToGrid/>
        <w:spacing w:before="0" w:after="156" w:line="560"/>
        <w:ind w:left="0" w:right="0" w:hanging="0"/>
        <w:jc w:val="both"/>
        <w:rPr/>
      </w:pPr>
      <w:r>
        <w:rPr>
          <w:rFonts w:ascii="仿宋_gb2312" w:hAnsi="仿宋_gb2312" w:cs="仿宋_gb2312"/>
          <w:i w:val="false"/>
          <w:strike w:val="false"/>
          <w:color w:val="323232"/>
          <w:spacing w:val="0"/>
          <w:sz w:val="32"/>
          <w:u w:val="none"/>
        </w:rPr>
        <w:t>（3）专业水平认证类计分办法如下：</w:t>
      </w:r>
    </w:p>
    <w:p>
      <w:pPr>
        <w:snapToGrid/>
        <w:spacing w:before="0" w:after="0" w:line="560"/>
        <w:ind w:left="0" w:right="0" w:firstLine="640"/>
        <w:jc w:val="center"/>
        <w:rPr/>
      </w:pPr>
      <w:r>
        <w:rPr>
          <w:rFonts w:ascii="仿宋_gb2312" w:hAnsi="仿宋_gb2312" w:cs="仿宋_gb2312"/>
          <w:i w:val="false"/>
          <w:strike w:val="false"/>
          <w:color w:val="323232"/>
          <w:spacing w:val="0"/>
          <w:sz w:val="32"/>
          <w:u w:val="none"/>
        </w:rPr>
        <w:t>CSP得分=（候选人CSP成绩/500分）×3</w:t>
      </w:r>
    </w:p>
    <w:p>
      <w:pPr>
        <w:snapToGrid/>
        <w:spacing w:before="0" w:after="0" w:line="400"/>
        <w:ind w:left="0" w:right="0" w:hanging="0"/>
        <w:jc w:val="both"/>
        <w:rPr/>
      </w:pPr>
      <w:r>
        <w:rPr>
          <w:rFonts w:ascii="仿宋_gb2312" w:hAnsi="仿宋_gb2312" w:cs="仿宋_gb2312"/>
          <w:i w:val="false"/>
          <w:strike w:val="false"/>
          <w:color w:val="323232"/>
          <w:spacing w:val="0"/>
          <w:sz w:val="24"/>
          <w:u w:val="none"/>
        </w:rPr>
        <w:t>注：专业水平认证类分数上限为</w:t>
      </w:r>
      <w:r>
        <w:rPr>
          <w:rFonts w:ascii="times new roman" w:hAnsi="times new roman" w:cs="times new roman"/>
          <w:i w:val="false"/>
          <w:strike w:val="false"/>
          <w:color w:val="323232"/>
          <w:spacing w:val="0"/>
          <w:sz w:val="24"/>
          <w:u w:val="none"/>
        </w:rPr>
        <w:t>3</w:t>
      </w:r>
      <w:r>
        <w:rPr>
          <w:rFonts w:ascii="仿宋_gb2312" w:hAnsi="仿宋_gb2312" w:cs="仿宋_gb2312"/>
          <w:i w:val="false"/>
          <w:strike w:val="false"/>
          <w:color w:val="323232"/>
          <w:spacing w:val="0"/>
          <w:sz w:val="24"/>
          <w:u w:val="none"/>
        </w:rPr>
        <w:t>分。多次</w:t>
      </w:r>
      <w:r>
        <w:rPr>
          <w:rFonts w:ascii="times new roman" w:hAnsi="times new roman" w:cs="times new roman"/>
          <w:i w:val="false"/>
          <w:strike w:val="false"/>
          <w:color w:val="323232"/>
          <w:spacing w:val="0"/>
          <w:sz w:val="24"/>
          <w:u w:val="none"/>
        </w:rPr>
        <w:t>CSP</w:t>
      </w:r>
      <w:r>
        <w:rPr>
          <w:rFonts w:ascii="仿宋_gb2312" w:hAnsi="仿宋_gb2312" w:cs="仿宋_gb2312"/>
          <w:i w:val="false"/>
          <w:strike w:val="false"/>
          <w:color w:val="323232"/>
          <w:spacing w:val="0"/>
          <w:sz w:val="24"/>
          <w:u w:val="none"/>
        </w:rPr>
        <w:t>成绩只取最高分且不重复计算。</w:t>
      </w:r>
    </w:p>
    <w:p>
      <w:pPr>
        <w:snapToGrid/>
        <w:spacing w:before="0" w:after="0" w:line="560"/>
        <w:ind w:left="0" w:right="0" w:hanging="0"/>
        <w:jc w:val="both"/>
        <w:rPr/>
      </w:pPr>
      <w:r>
        <w:rPr>
          <w:rFonts w:ascii="仿宋_gb2312" w:hAnsi="仿宋_gb2312" w:cs="仿宋_gb2312"/>
          <w:i w:val="false"/>
          <w:strike w:val="false"/>
          <w:color w:val="323232"/>
          <w:spacing w:val="0"/>
          <w:sz w:val="32"/>
          <w:u w:val="none"/>
        </w:rPr>
        <w:t>（4）社会工作类计分办法如下：</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①学生在校期间参军入伍服兵役计1分；</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②到国际组织实习计1分；</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③参加政府组织的国家级志愿服务计1分，省级志愿服务计0.5分。</w:t>
      </w:r>
    </w:p>
    <w:p>
      <w:pPr>
        <w:snapToGrid/>
        <w:spacing w:before="0" w:after="0" w:line="560"/>
        <w:ind w:left="0" w:right="0" w:firstLine="640"/>
        <w:jc w:val="both"/>
        <w:rPr/>
      </w:pPr>
      <w:r>
        <w:rPr>
          <w:rFonts w:ascii="仿宋" w:hAnsi="仿宋" w:eastAsia="仿宋" w:cs="仿宋"/>
          <w:i w:val="false"/>
          <w:strike w:val="false"/>
          <w:color w:val="323232"/>
          <w:spacing w:val="0"/>
          <w:sz w:val="32"/>
          <w:u w:val="none"/>
        </w:rPr>
        <w:t>④ 参加政府组织的市级志愿者服务计0.25分。</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⑤ 在省青联、市青联任职，或在学校团委学生会担任主席团成员，在学院团委学生会担任执行主席或团委第一副书记职务的学生干部，经学生工作领导小组认定，表现优秀者计0.5分，担任学院团委学生会副主席或团委第二副书记或分党校执行副校长职务的学生干部，经学生工作领导小组认定，表现优秀者计0.3分，担任部长、副部、年级总支（副）书记、分党校部长或副部长、班长、团支书等（参照综合素质测评加分项）主要学生干部，经学生工作领导小组认定，表现优秀者计0.25分。</w:t>
      </w:r>
    </w:p>
    <w:p>
      <w:pPr>
        <w:snapToGrid/>
        <w:spacing w:before="0" w:after="0" w:line="400"/>
        <w:ind w:left="0" w:right="0" w:hanging="0"/>
        <w:jc w:val="both"/>
        <w:rPr/>
      </w:pPr>
      <w:r>
        <w:rPr>
          <w:rFonts w:ascii="仿宋_gb2312" w:hAnsi="仿宋_gb2312" w:cs="仿宋_gb2312"/>
          <w:i w:val="false"/>
          <w:strike w:val="false"/>
          <w:color w:val="323232"/>
          <w:spacing w:val="0"/>
          <w:sz w:val="24"/>
          <w:u w:val="none"/>
        </w:rPr>
        <w:t>注：社会工作类分数上限为</w:t>
      </w:r>
      <w:r>
        <w:rPr>
          <w:rFonts w:ascii="times new roman" w:hAnsi="times new roman" w:cs="times new roman"/>
          <w:i w:val="false"/>
          <w:strike w:val="false"/>
          <w:color w:val="323232"/>
          <w:spacing w:val="0"/>
          <w:sz w:val="24"/>
          <w:u w:val="none"/>
        </w:rPr>
        <w:t>1</w:t>
      </w:r>
      <w:r>
        <w:rPr>
          <w:rFonts w:ascii="仿宋_gb2312" w:hAnsi="仿宋_gb2312" w:cs="仿宋_gb2312"/>
          <w:i w:val="false"/>
          <w:strike w:val="false"/>
          <w:color w:val="323232"/>
          <w:spacing w:val="0"/>
          <w:sz w:val="24"/>
          <w:u w:val="none"/>
        </w:rPr>
        <w:t>分，且各条之间不累计加分。</w:t>
      </w:r>
    </w:p>
    <w:p>
      <w:pPr>
        <w:snapToGrid/>
        <w:spacing w:before="0" w:after="0" w:line="560"/>
        <w:ind w:left="0" w:right="0" w:hanging="0"/>
        <w:jc w:val="both"/>
        <w:rPr/>
      </w:pPr>
      <w:r>
        <w:rPr>
          <w:rFonts w:ascii="仿宋_gb2312" w:hAnsi="仿宋_gb2312" w:cs="仿宋_gb2312"/>
          <w:i w:val="false"/>
          <w:strike w:val="false"/>
          <w:color w:val="323232"/>
          <w:spacing w:val="0"/>
          <w:sz w:val="32"/>
          <w:u w:val="none"/>
        </w:rPr>
        <w:t>（6）附加分计算办法：</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附加分=学术竞赛与大学生创新性实验项目分+创新能力分+专业能力认证分+社会工作分</w:t>
      </w:r>
    </w:p>
    <w:p>
      <w:pPr>
        <w:snapToGrid/>
        <w:spacing w:before="156" w:after="156" w:line="560"/>
        <w:ind w:left="0" w:right="0" w:hanging="0"/>
        <w:jc w:val="center"/>
        <w:rPr/>
      </w:pPr>
      <w:r>
        <w:rPr>
          <w:rFonts w:ascii="黑体" w:hAnsi="黑体" w:eastAsia="黑体" w:cs="黑体"/>
          <w:i w:val="false"/>
          <w:strike w:val="false"/>
          <w:color w:val="323232"/>
          <w:spacing w:val="0"/>
          <w:sz w:val="32"/>
          <w:u w:val="none"/>
        </w:rPr>
        <w:t>五、工作流程</w:t>
      </w:r>
    </w:p>
    <w:p>
      <w:pPr>
        <w:snapToGrid/>
        <w:spacing w:before="0" w:after="0" w:line="500"/>
        <w:ind w:left="0" w:right="0" w:firstLine="643"/>
        <w:jc w:val="both"/>
        <w:rPr/>
      </w:pPr>
      <w:r>
        <w:rPr>
          <w:rFonts w:ascii="仿宋_gb2312" w:hAnsi="仿宋_gb2312" w:cs="仿宋_gb2312"/>
          <w:b/>
          <w:i w:val="false"/>
          <w:strike w:val="false"/>
          <w:color w:val="323232"/>
          <w:spacing w:val="0"/>
          <w:sz w:val="32"/>
          <w:u w:val="none"/>
        </w:rPr>
        <w:t xml:space="preserve">第六条 </w:t>
      </w:r>
      <w:r>
        <w:rPr>
          <w:rFonts w:ascii="仿宋_gb2312" w:hAnsi="仿宋_gb2312" w:cs="仿宋_gb2312"/>
          <w:i w:val="false"/>
          <w:strike w:val="false"/>
          <w:color w:val="323232"/>
          <w:spacing w:val="0"/>
          <w:sz w:val="32"/>
          <w:u w:val="none"/>
        </w:rPr>
        <w:t>推荐工作按以下流程办理，通过下述程序的学生取得推免生资格：</w:t>
      </w:r>
    </w:p>
    <w:p>
      <w:pPr>
        <w:snapToGrid/>
        <w:spacing w:before="0" w:after="0" w:line="500"/>
        <w:ind w:left="0" w:right="0" w:firstLine="640"/>
        <w:jc w:val="both"/>
        <w:rPr/>
      </w:pPr>
      <w:r>
        <w:rPr>
          <w:rFonts w:ascii="仿宋_gb2312" w:hAnsi="仿宋_gb2312" w:cs="仿宋_gb2312"/>
          <w:i w:val="false"/>
          <w:strike w:val="false"/>
          <w:color w:val="323232"/>
          <w:spacing w:val="0"/>
          <w:sz w:val="32"/>
          <w:u w:val="none"/>
        </w:rPr>
        <w:t>1、学院成立推免工作组，负责学院的推免生评定工作；有直系亲属申请推免生的工作人员应回避。所在年级辅导员负责对所分管年级各班级评定工作的指导和监督。</w:t>
      </w:r>
    </w:p>
    <w:p>
      <w:pPr>
        <w:snapToGrid/>
        <w:spacing w:before="0" w:after="0" w:line="500"/>
        <w:ind w:left="0" w:right="0" w:firstLine="640"/>
        <w:jc w:val="both"/>
        <w:rPr/>
      </w:pPr>
      <w:r>
        <w:rPr>
          <w:rFonts w:ascii="仿宋_gb2312" w:hAnsi="仿宋_gb2312" w:cs="仿宋_gb2312"/>
          <w:i w:val="false"/>
          <w:strike w:val="false"/>
          <w:color w:val="323232"/>
          <w:spacing w:val="0"/>
          <w:sz w:val="32"/>
          <w:u w:val="none"/>
        </w:rPr>
        <w:t>2、学院发布工作通知，并将名额公布。</w:t>
      </w:r>
    </w:p>
    <w:p>
      <w:pPr>
        <w:snapToGrid/>
        <w:spacing w:before="0" w:after="0" w:line="500"/>
        <w:ind w:left="0" w:right="0" w:firstLine="640"/>
        <w:jc w:val="both"/>
        <w:rPr/>
      </w:pPr>
      <w:r>
        <w:rPr>
          <w:rFonts w:ascii="仿宋_gb2312" w:hAnsi="仿宋_gb2312" w:cs="仿宋_gb2312"/>
          <w:i w:val="false"/>
          <w:strike w:val="false"/>
          <w:color w:val="323232"/>
          <w:spacing w:val="0"/>
          <w:sz w:val="32"/>
          <w:u w:val="none"/>
        </w:rPr>
        <w:t>3、符合推免基本条件的同学提出申请，填写《湖南科技大学推荐免试攻读硕士学位研究生资格申请表》，并提交《推荐细则》中规定的综合素质评分认定附件材料（需提供原件查验，复印件存档），交计算机科学与工程学院推荐工作领导小组。</w:t>
      </w:r>
    </w:p>
    <w:p>
      <w:pPr>
        <w:snapToGrid/>
        <w:spacing w:before="0" w:after="0" w:line="500"/>
        <w:ind w:left="0" w:right="0" w:firstLine="640"/>
        <w:jc w:val="both"/>
        <w:rPr/>
      </w:pPr>
      <w:r>
        <w:rPr>
          <w:rFonts w:ascii="仿宋_gb2312" w:hAnsi="仿宋_gb2312" w:cs="仿宋_gb2312"/>
          <w:i w:val="false"/>
          <w:strike w:val="false"/>
          <w:color w:val="323232"/>
          <w:spacing w:val="0"/>
          <w:sz w:val="32"/>
          <w:u w:val="none"/>
        </w:rPr>
        <w:t>4、学院推荐工作小组对报名的学生按推荐细则的相关规定进行综合测评，排出名次，择优推荐初选名单。</w:t>
      </w:r>
    </w:p>
    <w:p>
      <w:pPr>
        <w:snapToGrid/>
        <w:spacing w:before="0" w:after="0" w:line="500"/>
        <w:ind w:left="0" w:right="0" w:firstLine="640"/>
        <w:jc w:val="both"/>
        <w:rPr/>
      </w:pPr>
      <w:r>
        <w:rPr>
          <w:rFonts w:ascii="仿宋_gb2312" w:hAnsi="仿宋_gb2312" w:cs="仿宋_gb2312"/>
          <w:i w:val="false"/>
          <w:strike w:val="false"/>
          <w:color w:val="323232"/>
          <w:spacing w:val="0"/>
          <w:sz w:val="32"/>
          <w:u w:val="none"/>
        </w:rPr>
        <w:t>5、学院专家审核小组召开专门会议，对申请推免资格学生的科研创新成果、论文（文章）、竞赛获奖奖项及内容进行审核鉴定，排除抄袭、造假、冒名及有名无实等情况，并对择优推荐初选名单学生进行公开答辩，专家审核小组及每位成员都要给出明确审核鉴定意见并签字存档。答辩全程要录音录像，答辩结果要公开公示，未通过审核鉴定或答辩的学生不得推荐。如出现未通过审核鉴定情况则顺位递补推荐和审核。对经过审核答辩通过的推荐初选名单张榜公示3天。</w:t>
      </w:r>
    </w:p>
    <w:p>
      <w:pPr>
        <w:snapToGrid/>
        <w:spacing w:before="0" w:after="0" w:line="560"/>
        <w:ind w:left="0" w:right="0" w:firstLine="640"/>
        <w:rPr/>
      </w:pPr>
      <w:r>
        <w:rPr>
          <w:rFonts w:ascii="仿宋_gb2312" w:hAnsi="仿宋_gb2312" w:cs="仿宋_gb2312"/>
          <w:i w:val="false"/>
          <w:strike w:val="false"/>
          <w:color w:val="323232"/>
          <w:spacing w:val="0"/>
          <w:sz w:val="32"/>
          <w:u w:val="none"/>
        </w:rPr>
        <w:t>6、学院公示无异议的学生填写教育部统一印制的《全国推荐免试攻读硕士学位研究生登记表》、《湖南科技大学推荐免试攻读硕士学位研究生资格申请表》，经学院推荐工作小组审核盖章后，报学校推免生遴选工作领导小组审定。</w:t>
      </w:r>
    </w:p>
    <w:p>
      <w:pPr>
        <w:snapToGrid/>
        <w:spacing w:before="0" w:after="0" w:line="500"/>
        <w:ind w:left="0" w:right="0" w:firstLine="640"/>
        <w:jc w:val="both"/>
        <w:rPr/>
      </w:pPr>
      <w:r>
        <w:rPr>
          <w:rFonts w:ascii="仿宋_gb2312" w:hAnsi="仿宋_gb2312" w:cs="仿宋_gb2312"/>
          <w:i w:val="false"/>
          <w:strike w:val="false"/>
          <w:color w:val="323232"/>
          <w:spacing w:val="0"/>
          <w:sz w:val="32"/>
          <w:u w:val="none"/>
        </w:rPr>
        <w:t>7、学校在教育部规定时间内通过“全国推荐优秀应届本科毕业生免试攻读研究生信息公开暨管理服务系统”（以下简称“推免服务系统”）报湖南省教育考试院进行政策审核，并按要求向教育部备案。最终推免生名单以“推免服务系统”信息为准。</w:t>
      </w:r>
    </w:p>
    <w:p>
      <w:pPr>
        <w:snapToGrid/>
        <w:spacing w:before="0" w:after="0" w:line="500"/>
        <w:ind w:left="0" w:right="0" w:firstLine="643"/>
        <w:jc w:val="both"/>
        <w:rPr/>
      </w:pPr>
      <w:r>
        <w:rPr>
          <w:rFonts w:ascii="仿宋_gb2312" w:hAnsi="仿宋_gb2312" w:cs="仿宋_gb2312"/>
          <w:b/>
          <w:i w:val="false"/>
          <w:strike w:val="false"/>
          <w:color w:val="323232"/>
          <w:spacing w:val="0"/>
          <w:sz w:val="32"/>
          <w:u w:val="none"/>
        </w:rPr>
        <w:t xml:space="preserve">第七条 </w:t>
      </w:r>
      <w:r>
        <w:rPr>
          <w:rFonts w:ascii="仿宋_gb2312" w:hAnsi="仿宋_gb2312" w:cs="仿宋_gb2312"/>
          <w:i w:val="false"/>
          <w:strike w:val="false"/>
          <w:color w:val="323232"/>
          <w:spacing w:val="0"/>
          <w:sz w:val="32"/>
          <w:u w:val="none"/>
        </w:rPr>
        <w:t>取得推免生资格的学生须按国家招考研究生的要求进行网上志愿填报并及时接收确认招生单位的复试及录取通知，未按时履行手续者，视为放弃推免生资格。</w:t>
      </w:r>
    </w:p>
    <w:p>
      <w:pPr>
        <w:snapToGrid/>
        <w:spacing w:before="0" w:after="0" w:line="500"/>
        <w:ind w:left="0" w:right="0" w:firstLine="643"/>
        <w:jc w:val="both"/>
        <w:rPr/>
      </w:pPr>
      <w:r>
        <w:rPr>
          <w:rFonts w:ascii="仿宋_gb2312" w:hAnsi="仿宋_gb2312" w:cs="仿宋_gb2312"/>
          <w:b/>
          <w:i w:val="false"/>
          <w:strike w:val="false"/>
          <w:color w:val="323232"/>
          <w:spacing w:val="0"/>
          <w:sz w:val="32"/>
          <w:u w:val="none"/>
        </w:rPr>
        <w:t xml:space="preserve">第八条 </w:t>
      </w:r>
      <w:r>
        <w:rPr>
          <w:rFonts w:ascii="仿宋_gb2312" w:hAnsi="仿宋_gb2312" w:cs="仿宋_gb2312"/>
          <w:i w:val="false"/>
          <w:strike w:val="false"/>
          <w:color w:val="323232"/>
          <w:spacing w:val="0"/>
          <w:sz w:val="32"/>
          <w:u w:val="none"/>
        </w:rPr>
        <w:t>取得推免生资格的学生有下列情形之一者，取消推免生资格：</w:t>
      </w:r>
    </w:p>
    <w:p>
      <w:pPr>
        <w:snapToGrid/>
        <w:spacing w:before="0" w:after="0" w:line="500"/>
        <w:ind w:left="0" w:right="0" w:firstLine="640"/>
        <w:jc w:val="both"/>
        <w:rPr/>
      </w:pPr>
      <w:r>
        <w:rPr>
          <w:rFonts w:ascii="仿宋_gb2312" w:hAnsi="仿宋_gb2312" w:cs="仿宋_gb2312"/>
          <w:i w:val="false"/>
          <w:strike w:val="false"/>
          <w:color w:val="323232"/>
          <w:spacing w:val="0"/>
          <w:sz w:val="32"/>
          <w:u w:val="none"/>
        </w:rPr>
        <w:t>1、违法或受纪律处分的；</w:t>
      </w:r>
    </w:p>
    <w:p>
      <w:pPr>
        <w:snapToGrid/>
        <w:spacing w:before="0" w:after="0" w:line="500"/>
        <w:ind w:left="0" w:right="0" w:firstLine="640"/>
        <w:jc w:val="both"/>
        <w:rPr/>
      </w:pPr>
      <w:r>
        <w:rPr>
          <w:rFonts w:ascii="仿宋_gb2312" w:hAnsi="仿宋_gb2312" w:cs="仿宋_gb2312"/>
          <w:i w:val="false"/>
          <w:strike w:val="false"/>
          <w:color w:val="323232"/>
          <w:spacing w:val="0"/>
          <w:sz w:val="32"/>
          <w:u w:val="none"/>
        </w:rPr>
        <w:t>2、在申请推免生过程中弄虚作假的；</w:t>
      </w:r>
    </w:p>
    <w:p>
      <w:pPr>
        <w:snapToGrid/>
        <w:spacing w:before="0" w:after="0" w:line="500"/>
        <w:ind w:left="0" w:right="0" w:firstLine="640"/>
        <w:jc w:val="both"/>
        <w:rPr/>
      </w:pPr>
      <w:r>
        <w:rPr>
          <w:rFonts w:ascii="仿宋_gb2312" w:hAnsi="仿宋_gb2312" w:cs="仿宋_gb2312"/>
          <w:i w:val="false"/>
          <w:strike w:val="false"/>
          <w:color w:val="323232"/>
          <w:spacing w:val="0"/>
          <w:sz w:val="32"/>
          <w:u w:val="none"/>
        </w:rPr>
        <w:t>3、入学前未取得学士学位或本科毕业证书的。</w:t>
      </w:r>
    </w:p>
    <w:p>
      <w:pPr>
        <w:snapToGrid/>
        <w:spacing w:before="0" w:after="0" w:line="560"/>
        <w:ind w:left="0" w:right="0" w:firstLine="643"/>
        <w:jc w:val="both"/>
        <w:rPr/>
      </w:pPr>
      <w:r>
        <w:rPr>
          <w:rFonts w:ascii="仿宋_gb2312" w:hAnsi="仿宋_gb2312" w:cs="仿宋_gb2312"/>
          <w:b/>
          <w:i w:val="false"/>
          <w:strike w:val="false"/>
          <w:color w:val="323232"/>
          <w:spacing w:val="0"/>
          <w:sz w:val="32"/>
          <w:u w:val="none"/>
        </w:rPr>
        <w:t xml:space="preserve">第九条 </w:t>
      </w:r>
      <w:r>
        <w:rPr>
          <w:rFonts w:ascii="仿宋_gb2312" w:hAnsi="仿宋_gb2312" w:cs="仿宋_gb2312"/>
          <w:i w:val="false"/>
          <w:strike w:val="false"/>
          <w:color w:val="323232"/>
          <w:spacing w:val="0"/>
          <w:sz w:val="32"/>
          <w:u w:val="none"/>
        </w:rPr>
        <w:t>获得推免生资格的学生一律不进行就业推荐并不得中途退出。</w:t>
      </w:r>
    </w:p>
    <w:p>
      <w:pPr>
        <w:snapToGrid/>
        <w:spacing w:before="156" w:after="156" w:line="560"/>
        <w:ind w:left="0" w:right="0" w:hanging="0"/>
        <w:jc w:val="center"/>
        <w:rPr/>
      </w:pPr>
      <w:r>
        <w:rPr>
          <w:rFonts w:ascii="黑体" w:hAnsi="黑体" w:eastAsia="黑体" w:cs="黑体"/>
          <w:i w:val="false"/>
          <w:strike w:val="false"/>
          <w:color w:val="323232"/>
          <w:spacing w:val="0"/>
          <w:sz w:val="32"/>
          <w:u w:val="none"/>
        </w:rPr>
        <w:t>六、评审监督</w:t>
      </w:r>
    </w:p>
    <w:p>
      <w:pPr>
        <w:snapToGrid/>
        <w:spacing w:before="0" w:after="0" w:line="560"/>
        <w:ind w:left="0" w:right="0" w:firstLine="643"/>
        <w:jc w:val="both"/>
        <w:rPr/>
      </w:pPr>
      <w:r>
        <w:rPr>
          <w:rFonts w:ascii="仿宋_gb2312" w:hAnsi="仿宋_gb2312" w:cs="仿宋_gb2312"/>
          <w:b/>
          <w:i w:val="false"/>
          <w:strike w:val="false"/>
          <w:color w:val="323232"/>
          <w:spacing w:val="0"/>
          <w:sz w:val="32"/>
          <w:u w:val="none"/>
        </w:rPr>
        <w:t xml:space="preserve">第十条 </w:t>
      </w:r>
      <w:r>
        <w:rPr>
          <w:rFonts w:ascii="仿宋_gb2312" w:hAnsi="仿宋_gb2312" w:cs="仿宋_gb2312"/>
          <w:i w:val="false"/>
          <w:strike w:val="false"/>
          <w:color w:val="323232"/>
          <w:spacing w:val="0"/>
          <w:sz w:val="32"/>
          <w:u w:val="none"/>
        </w:rPr>
        <w:t>学生如对学院推荐结果有异议，可在学院公示之日起3个工作日内向推荐学院申请复议，推荐学院应在3个工作日内对申请人反映的问题进行核实并将复议结论书面告知申请人。学生如对推荐学院复议结论或学校公示名单有异议，可在接到复议结论或学校公示之日起5个工作日内向学校推免生遴选工作领导小组提出书面申诉，推免生遴选工作领导小组须对申诉人反映的问题予以复查，并在5个工作日内做出复查结论并书面告知申诉人。对于推选结果中出现违纪问题，学生可以实名通过以下渠道反映。</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学院举报电话： 0731-58290130</w:t>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学校纪委举报邮箱：</w:t>
      </w:r>
      <w:r>
        <w:rPr/>
        <w:fldChar w:fldCharType="begin"/>
      </w:r>
      <w:r>
        <w:rPr/>
        <w:instrText>HYPERLINK mailto:JW@hnust.cn normalLink \tdft \tdfe -10 \tdfid \tddp \tdop \tdlt inline \tdds \tdfvi \tdlf \l \tdsub normalLink \tdkey muyhtr \tdkey muyhtr</w:instrText>
      </w:r>
      <w:r>
        <w:rPr/>
        <w:fldChar w:fldCharType="separate"/>
      </w:r>
      <w:r>
        <w:rPr>
          <w:rStyle w:val="000016"/>
          <w:color/>
        </w:rPr>
        <w:t>JW@hnust.cn</w:t>
      </w:r>
      <w:r>
        <w:rPr/>
        <w:fldChar w:fldCharType="end"/>
      </w:r>
    </w:p>
    <w:p>
      <w:pPr>
        <w:snapToGrid/>
        <w:spacing w:before="0" w:after="0" w:line="560"/>
        <w:ind w:left="0" w:right="0" w:firstLine="640"/>
        <w:jc w:val="both"/>
        <w:rPr/>
      </w:pPr>
      <w:r>
        <w:rPr>
          <w:rFonts w:ascii="仿宋_gb2312" w:hAnsi="仿宋_gb2312" w:cs="仿宋_gb2312"/>
          <w:i w:val="false"/>
          <w:strike w:val="false"/>
          <w:color w:val="323232"/>
          <w:spacing w:val="0"/>
          <w:sz w:val="32"/>
          <w:u w:val="none"/>
        </w:rPr>
        <w:t>学校纪委举报电话：0731-58291312</w:t>
      </w:r>
    </w:p>
    <w:p>
      <w:pPr>
        <w:snapToGrid/>
        <w:spacing w:before="156" w:after="156" w:line="560"/>
        <w:ind w:left="0" w:right="0" w:hanging="0"/>
        <w:jc w:val="center"/>
        <w:rPr/>
      </w:pPr>
      <w:r>
        <w:rPr>
          <w:rFonts w:ascii="黑体" w:hAnsi="黑体" w:eastAsia="黑体" w:cs="黑体"/>
          <w:i w:val="false"/>
          <w:strike w:val="false"/>
          <w:color w:val="323232"/>
          <w:spacing w:val="0"/>
          <w:sz w:val="32"/>
          <w:u w:val="none"/>
        </w:rPr>
        <w:t>七、附 则</w:t>
      </w:r>
    </w:p>
    <w:p>
      <w:pPr>
        <w:snapToGrid/>
        <w:spacing w:before="0" w:after="0" w:line="560"/>
        <w:ind w:left="0" w:right="0" w:firstLine="643"/>
        <w:jc w:val="both"/>
        <w:rPr/>
      </w:pPr>
      <w:r>
        <w:rPr>
          <w:rFonts w:ascii="仿宋_gb2312" w:hAnsi="仿宋_gb2312" w:cs="仿宋_gb2312"/>
          <w:b/>
          <w:i w:val="false"/>
          <w:strike w:val="false"/>
          <w:color w:val="323232"/>
          <w:spacing w:val="0"/>
          <w:sz w:val="32"/>
          <w:u w:val="none"/>
        </w:rPr>
        <w:t xml:space="preserve">第十一条 </w:t>
      </w:r>
      <w:r>
        <w:rPr>
          <w:rFonts w:ascii="仿宋_gb2312" w:hAnsi="仿宋_gb2312" w:cs="仿宋_gb2312"/>
          <w:i w:val="false"/>
          <w:strike w:val="false"/>
          <w:color w:val="323232"/>
          <w:spacing w:val="0"/>
          <w:sz w:val="32"/>
          <w:u w:val="none"/>
        </w:rPr>
        <w:t>本办法由学院推免工作领导小组负责解释。</w:t>
      </w:r>
    </w:p>
    <w:p>
      <w:pPr>
        <w:snapToGrid/>
        <w:spacing w:before="0" w:after="0" w:line="560"/>
        <w:ind w:left="0" w:right="0" w:firstLine="643"/>
        <w:jc w:val="both"/>
        <w:rPr/>
      </w:pPr>
      <w:r>
        <w:rPr>
          <w:rFonts w:ascii="仿宋_gb2312" w:hAnsi="仿宋_gb2312" w:cs="仿宋_gb2312"/>
          <w:b/>
          <w:i w:val="false"/>
          <w:strike w:val="false"/>
          <w:color w:val="323232"/>
          <w:spacing w:val="0"/>
          <w:sz w:val="32"/>
          <w:u w:val="none"/>
        </w:rPr>
        <w:t xml:space="preserve">第十二条 </w:t>
      </w:r>
      <w:r>
        <w:rPr>
          <w:rFonts w:ascii="仿宋_gb2312" w:hAnsi="仿宋_gb2312" w:cs="仿宋_gb2312"/>
          <w:i w:val="false"/>
          <w:strike w:val="false"/>
          <w:color w:val="323232"/>
          <w:spacing w:val="0"/>
          <w:sz w:val="32"/>
          <w:u w:val="none"/>
        </w:rPr>
        <w:t>本办法自公布之日起施行，原则上每年修订一次，特殊情况由学院党政联席会决定。</w:t>
      </w:r>
    </w:p>
    <w:p>
      <w:pPr>
        <w:snapToGrid/>
        <w:spacing w:before="0" w:after="0" w:line="560"/>
        <w:ind w:left="0" w:right="0" w:firstLine="640"/>
        <w:jc w:val="right"/>
        <w:rPr/>
      </w:pPr>
      <w:r>
        <w:rPr>
          <w:rFonts w:ascii="仿宋_gb2312" w:hAnsi="仿宋_gb2312" w:cs="仿宋_gb2312"/>
          <w:i w:val="false"/>
          <w:strike w:val="false"/>
          <w:color w:val="323232"/>
          <w:spacing w:val="0"/>
          <w:sz w:val="32"/>
          <w:u w:val="none"/>
        </w:rPr>
        <w:t>计算机科学与工程学院</w:t>
      </w:r>
    </w:p>
    <w:p>
      <w:pPr>
        <w:snapToGrid/>
        <w:spacing w:before="0" w:after="0" w:line="560"/>
        <w:ind w:left="0" w:right="0" w:firstLine="640"/>
        <w:jc w:val="right"/>
        <w:rPr/>
      </w:pPr>
      <w:r>
        <w:rPr>
          <w:rFonts w:ascii="仿宋_gb2312" w:hAnsi="仿宋_gb2312" w:cs="仿宋_gb2312"/>
          <w:i w:val="false"/>
          <w:strike w:val="false"/>
          <w:color w:val="323232"/>
          <w:spacing w:val="0"/>
          <w:sz w:val="32"/>
          <w:u w:val="none"/>
        </w:rPr>
        <w:t>二〇二四年九月四日</w:t>
      </w:r>
    </w:p>
    <w:p>
      <w:pPr>
        <w:pStyle w:val="000003"/>
        <w:pBdr/>
        <w:snapToGrid/>
        <w:spacing w:before="0" w:after="150" w:line="240"/>
        <w:ind w:left="0" w:right="0" w:hanging="0"/>
        <w:jc w:val="center"/>
        <w:rPr>
          <w:rFonts w:ascii="微软雅黑" w:hAnsi="微软雅黑" w:cs="微软雅黑"/>
          <w:i w:val="false"/>
          <w:strike w:val="false"/>
          <w:color w:val="323232"/>
          <w:spacing w:val="0"/>
          <w:sz w:val="30"/>
          <w:u w:val="none"/>
        </w:rPr>
      </w:pPr>
    </w:p>
    <w:p>
      <w:pPr>
        <w:pStyle w:val="000003"/>
        <w:snapToGrid/>
        <w:spacing w:before="0" w:after="150" w:line="240"/>
        <w:ind w:left="0" w:right="0" w:hanging="0"/>
        <w:jc w:val="center"/>
        <w:rPr/>
      </w:pPr>
      <w:r>
        <w:rPr>
          <w:rFonts w:ascii="微软雅黑" w:hAnsi="微软雅黑" w:cs="微软雅黑"/>
          <w:i w:val="false"/>
          <w:strike w:val="false"/>
          <w:color w:val="323232"/>
          <w:spacing w:val="0"/>
          <w:sz w:val="30"/>
          <w:u w:val="none"/>
        </w:rPr>
        <w:t>湖南科技大学化学化工学院关于举办2024年大学生学术夏令营活动的通知</w:t>
      </w:r>
    </w:p>
    <w:p>
      <w:pPr>
        <w:snapToGrid/>
        <w:spacing w:line="432"/>
        <w:ind w:firstLine="640"/>
        <w:jc w:val="left"/>
        <w:rPr/>
      </w:pPr>
      <w:r>
        <w:rPr>
          <w:rFonts w:ascii="微软雅黑" w:hAnsi="微软雅黑" w:cs="微软雅黑"/>
          <w:i w:val="false"/>
          <w:strike w:val="false"/>
          <w:color w:val="323232"/>
          <w:spacing w:val="0"/>
          <w:sz w:val="28"/>
          <w:u w:val="none"/>
        </w:rPr>
        <w:t>为进一步促进各高校优秀大学生之间的学术交流，增进学生对我院学科和专业的了解，不断优化硕士研究生生源结构、提高生源质量，我院特决定举办“2024年大学生学术夏令营”。现将有关事项通知如下：</w:t>
      </w:r>
    </w:p>
    <w:p>
      <w:pPr>
        <w:snapToGrid/>
        <w:spacing w:line="432"/>
        <w:ind w:firstLine="640"/>
        <w:jc w:val="left"/>
        <w:rPr/>
      </w:pPr>
      <w:r>
        <w:rPr>
          <w:rFonts w:ascii="微软雅黑" w:hAnsi="微软雅黑" w:cs="微软雅黑"/>
          <w:i w:val="false"/>
          <w:strike w:val="false"/>
          <w:color w:val="323232"/>
          <w:spacing w:val="0"/>
          <w:sz w:val="28"/>
          <w:u w:val="none"/>
        </w:rPr>
        <w:t>一、工作安排</w:t>
      </w:r>
    </w:p>
    <w:p>
      <w:pPr>
        <w:snapToGrid/>
        <w:spacing w:line="432"/>
        <w:ind w:firstLine="640"/>
        <w:jc w:val="left"/>
        <w:rPr/>
      </w:pPr>
      <w:r>
        <w:rPr>
          <w:rFonts w:ascii="微软雅黑" w:hAnsi="微软雅黑" w:cs="微软雅黑"/>
          <w:i w:val="false"/>
          <w:strike w:val="false"/>
          <w:color w:val="323232"/>
          <w:spacing w:val="0"/>
          <w:sz w:val="28"/>
          <w:u w:val="none"/>
        </w:rPr>
        <w:t>营员规模： 40 人左右</w:t>
      </w:r>
    </w:p>
    <w:p>
      <w:pPr>
        <w:snapToGrid/>
        <w:spacing w:line="432"/>
        <w:ind w:firstLine="640"/>
        <w:jc w:val="left"/>
        <w:rPr/>
      </w:pPr>
      <w:r>
        <w:rPr>
          <w:rFonts w:ascii="微软雅黑" w:hAnsi="微软雅黑" w:cs="微软雅黑"/>
          <w:i w:val="false"/>
          <w:strike w:val="false"/>
          <w:color w:val="323232"/>
          <w:spacing w:val="0"/>
          <w:sz w:val="28"/>
          <w:u w:val="none"/>
        </w:rPr>
        <w:t>营员报名：2024年6月18-27日（6月27日24:00截止，学院根据报名情况可提前结束报名）</w:t>
      </w:r>
    </w:p>
    <w:p>
      <w:pPr>
        <w:snapToGrid/>
        <w:spacing w:line="432"/>
        <w:ind w:firstLine="640"/>
        <w:jc w:val="left"/>
        <w:rPr/>
      </w:pPr>
      <w:r>
        <w:rPr>
          <w:rFonts w:ascii="微软雅黑" w:hAnsi="微软雅黑" w:cs="微软雅黑"/>
          <w:i w:val="false"/>
          <w:strike w:val="false"/>
          <w:color w:val="323232"/>
          <w:spacing w:val="0"/>
          <w:sz w:val="28"/>
          <w:u w:val="none"/>
        </w:rPr>
        <w:t>营员选拔：将根据申请人的学习成绩、综合素养等条件综合择优遴选，夏令营营员名单将于6月28日在我院官网上公布（注：如提前结束报名则提前公布）。</w:t>
      </w:r>
    </w:p>
    <w:p>
      <w:pPr>
        <w:snapToGrid/>
        <w:spacing w:line="432"/>
        <w:ind w:firstLine="640"/>
        <w:jc w:val="left"/>
        <w:rPr/>
      </w:pPr>
      <w:r>
        <w:rPr>
          <w:rFonts w:ascii="微软雅黑" w:hAnsi="微软雅黑" w:cs="微软雅黑"/>
          <w:i w:val="false"/>
          <w:strike w:val="false"/>
          <w:color w:val="323232"/>
          <w:spacing w:val="0"/>
          <w:sz w:val="28"/>
          <w:u w:val="none"/>
        </w:rPr>
        <w:t>夏令营开营：2024年7月8-10日</w:t>
      </w:r>
    </w:p>
    <w:p>
      <w:pPr>
        <w:snapToGrid/>
        <w:spacing w:line="432"/>
        <w:ind w:firstLine="640"/>
        <w:jc w:val="left"/>
        <w:rPr/>
      </w:pPr>
      <w:r>
        <w:rPr>
          <w:rFonts w:ascii="微软雅黑" w:hAnsi="微软雅黑" w:cs="微软雅黑"/>
          <w:i w:val="false"/>
          <w:strike w:val="false"/>
          <w:color w:val="323232"/>
          <w:spacing w:val="0"/>
          <w:sz w:val="28"/>
          <w:u w:val="none"/>
        </w:rPr>
        <w:t>二、申请条件</w:t>
      </w:r>
    </w:p>
    <w:p>
      <w:pPr>
        <w:snapToGrid/>
        <w:spacing w:line="432"/>
        <w:ind w:firstLine="640"/>
        <w:jc w:val="left"/>
        <w:rPr/>
      </w:pPr>
      <w:r>
        <w:rPr>
          <w:rFonts w:ascii="微软雅黑" w:hAnsi="微软雅黑" w:cs="微软雅黑"/>
          <w:i w:val="false"/>
          <w:strike w:val="false"/>
          <w:color w:val="323232"/>
          <w:spacing w:val="0"/>
          <w:sz w:val="28"/>
          <w:u w:val="none"/>
        </w:rPr>
        <w:t>1.政治素养：具有良好的政治素质和思想道德素养，政治立场坚定，德智体美劳全面发展，遵纪守法，身心健康。</w:t>
      </w:r>
    </w:p>
    <w:p>
      <w:pPr>
        <w:snapToGrid/>
        <w:spacing w:line="432"/>
        <w:ind w:firstLine="640"/>
        <w:jc w:val="left"/>
        <w:rPr/>
      </w:pPr>
      <w:r>
        <w:rPr>
          <w:rFonts w:ascii="微软雅黑" w:hAnsi="微软雅黑" w:cs="微软雅黑"/>
          <w:i w:val="false"/>
          <w:strike w:val="false"/>
          <w:color w:val="323232"/>
          <w:spacing w:val="0"/>
          <w:sz w:val="28"/>
          <w:u w:val="none"/>
        </w:rPr>
        <w:t>2.外语水平：具有较好的外语听、说、读、写能力。</w:t>
      </w:r>
    </w:p>
    <w:p>
      <w:pPr>
        <w:snapToGrid/>
        <w:spacing w:line="432"/>
        <w:ind w:firstLine="640"/>
        <w:jc w:val="left"/>
        <w:rPr/>
      </w:pPr>
      <w:r>
        <w:rPr>
          <w:rFonts w:ascii="微软雅黑" w:hAnsi="微软雅黑" w:cs="微软雅黑"/>
          <w:i w:val="false"/>
          <w:strike w:val="false"/>
          <w:color w:val="323232"/>
          <w:spacing w:val="0"/>
          <w:sz w:val="28"/>
          <w:u w:val="none"/>
        </w:rPr>
        <w:t>3.综合素养：有较好的专业理论基础和良好的科研潜力。</w:t>
      </w:r>
    </w:p>
    <w:p>
      <w:pPr>
        <w:snapToGrid/>
        <w:spacing w:line="432"/>
        <w:ind w:firstLine="640"/>
        <w:jc w:val="left"/>
        <w:rPr/>
      </w:pPr>
      <w:r>
        <w:rPr>
          <w:rFonts w:ascii="微软雅黑" w:hAnsi="微软雅黑" w:cs="微软雅黑"/>
          <w:i w:val="false"/>
          <w:strike w:val="false"/>
          <w:color w:val="323232"/>
          <w:spacing w:val="0"/>
          <w:sz w:val="28"/>
          <w:u w:val="none"/>
        </w:rPr>
        <w:t>三、报名及选拔流程</w:t>
      </w:r>
    </w:p>
    <w:p>
      <w:pPr>
        <w:snapToGrid/>
        <w:spacing w:line="432"/>
        <w:ind w:firstLine="640"/>
        <w:jc w:val="left"/>
        <w:rPr/>
      </w:pPr>
      <w:r>
        <w:rPr>
          <w:rFonts w:ascii="微软雅黑" w:hAnsi="微软雅黑" w:cs="微软雅黑"/>
          <w:i w:val="false"/>
          <w:strike w:val="false"/>
          <w:color w:val="323232"/>
          <w:spacing w:val="0"/>
          <w:sz w:val="28"/>
          <w:u w:val="none"/>
        </w:rPr>
        <w:t>1.填写申请表</w:t>
      </w:r>
    </w:p>
    <w:p>
      <w:pPr>
        <w:snapToGrid/>
        <w:spacing w:line="432"/>
        <w:ind w:firstLine="640"/>
        <w:jc w:val="left"/>
        <w:rPr/>
      </w:pPr>
      <w:r>
        <w:rPr>
          <w:rFonts w:ascii="微软雅黑" w:hAnsi="微软雅黑" w:cs="微软雅黑"/>
          <w:i w:val="false"/>
          <w:strike w:val="false"/>
          <w:color w:val="323232"/>
          <w:spacing w:val="0"/>
          <w:sz w:val="28"/>
          <w:u w:val="none"/>
        </w:rPr>
        <w:t>在本通知附件中下载“湖南科技大学化学化工学院2024年大学生学术夏令营申请表”，如实填写相关信息（注：申请表可以打印，但须手写签名确认）。</w:t>
      </w:r>
    </w:p>
    <w:p>
      <w:pPr>
        <w:snapToGrid/>
        <w:spacing w:line="432"/>
        <w:ind w:firstLine="640"/>
        <w:jc w:val="left"/>
        <w:rPr/>
      </w:pPr>
      <w:r>
        <w:rPr>
          <w:rFonts w:ascii="微软雅黑" w:hAnsi="微软雅黑" w:cs="微软雅黑"/>
          <w:i w:val="false"/>
          <w:strike w:val="false"/>
          <w:color w:val="323232"/>
          <w:spacing w:val="0"/>
          <w:sz w:val="28"/>
          <w:u w:val="none"/>
        </w:rPr>
        <w:t>2.报名材料</w:t>
      </w:r>
    </w:p>
    <w:p>
      <w:pPr>
        <w:snapToGrid/>
        <w:spacing w:line="432"/>
        <w:ind w:firstLine="640"/>
        <w:jc w:val="left"/>
        <w:rPr/>
      </w:pPr>
      <w:r>
        <w:rPr>
          <w:rFonts w:ascii="微软雅黑" w:hAnsi="微软雅黑" w:cs="微软雅黑"/>
          <w:i w:val="false"/>
          <w:strike w:val="false"/>
          <w:color w:val="323232"/>
          <w:spacing w:val="0"/>
          <w:sz w:val="28"/>
          <w:u w:val="none"/>
        </w:rPr>
        <w:t>①湖南科技大学化学化工学院2024年大学生学术夏令营申请表（须手写签名）；</w:t>
      </w:r>
    </w:p>
    <w:p>
      <w:pPr>
        <w:snapToGrid/>
        <w:spacing w:line="432"/>
        <w:ind w:firstLine="640"/>
        <w:jc w:val="left"/>
        <w:rPr/>
      </w:pPr>
      <w:r>
        <w:rPr>
          <w:rFonts w:ascii="微软雅黑" w:hAnsi="微软雅黑" w:cs="微软雅黑"/>
          <w:i w:val="false"/>
          <w:strike w:val="false"/>
          <w:color w:val="323232"/>
          <w:spacing w:val="0"/>
          <w:sz w:val="28"/>
          <w:u w:val="none"/>
        </w:rPr>
        <w:t>②本科成绩单与总评成绩排名证明（由教务处盖章或学院盖章）各1份；</w:t>
      </w:r>
    </w:p>
    <w:p>
      <w:pPr>
        <w:snapToGrid/>
        <w:spacing w:line="432"/>
        <w:ind w:firstLine="640"/>
        <w:jc w:val="left"/>
        <w:rPr/>
      </w:pPr>
      <w:r>
        <w:rPr>
          <w:rFonts w:ascii="微软雅黑" w:hAnsi="微软雅黑" w:cs="微软雅黑"/>
          <w:i w:val="false"/>
          <w:strike w:val="false"/>
          <w:color w:val="323232"/>
          <w:spacing w:val="0"/>
          <w:sz w:val="28"/>
          <w:u w:val="none"/>
        </w:rPr>
        <w:t>③个人简历1份；</w:t>
      </w:r>
    </w:p>
    <w:p>
      <w:pPr>
        <w:snapToGrid/>
        <w:spacing w:line="432"/>
        <w:ind w:firstLine="640"/>
        <w:jc w:val="left"/>
        <w:rPr/>
      </w:pPr>
      <w:r>
        <w:rPr>
          <w:rFonts w:ascii="微软雅黑" w:hAnsi="微软雅黑" w:cs="微软雅黑"/>
          <w:i w:val="false"/>
          <w:strike w:val="false"/>
          <w:color w:val="323232"/>
          <w:spacing w:val="0"/>
          <w:sz w:val="28"/>
          <w:u w:val="none"/>
        </w:rPr>
        <w:t>④身份证（正反面）、学生证复印件；</w:t>
      </w:r>
    </w:p>
    <w:p>
      <w:pPr>
        <w:snapToGrid/>
        <w:spacing w:line="432"/>
        <w:ind w:firstLine="640"/>
        <w:jc w:val="left"/>
        <w:rPr/>
      </w:pPr>
      <w:r>
        <w:rPr>
          <w:rFonts w:ascii="微软雅黑" w:hAnsi="微软雅黑" w:cs="微软雅黑"/>
          <w:i w:val="false"/>
          <w:strike w:val="false"/>
          <w:color w:val="323232"/>
          <w:spacing w:val="0"/>
          <w:sz w:val="28"/>
          <w:u w:val="none"/>
        </w:rPr>
        <w:t>⑤外语水平证明材料复印件（包括大学英语四、六级考试成绩单、TOEFL成绩单、GRE/GMAT成绩单、PETS5成绩单或其他语种的等级证书等）；</w:t>
      </w:r>
    </w:p>
    <w:p>
      <w:pPr>
        <w:snapToGrid/>
        <w:spacing w:line="432"/>
        <w:ind w:firstLine="640"/>
        <w:jc w:val="left"/>
        <w:rPr/>
      </w:pPr>
      <w:r>
        <w:rPr>
          <w:rFonts w:ascii="微软雅黑" w:hAnsi="微软雅黑" w:cs="微软雅黑"/>
          <w:i w:val="false"/>
          <w:strike w:val="false"/>
          <w:color w:val="323232"/>
          <w:spacing w:val="0"/>
          <w:sz w:val="28"/>
          <w:u w:val="none"/>
        </w:rPr>
        <w:t>⑥其他证明材料（如获奖证书、学术论文等）。</w:t>
      </w:r>
    </w:p>
    <w:p>
      <w:pPr>
        <w:snapToGrid/>
        <w:spacing w:line="432"/>
        <w:ind w:firstLine="640"/>
        <w:jc w:val="left"/>
        <w:rPr/>
      </w:pPr>
      <w:r>
        <w:rPr>
          <w:rFonts w:ascii="微软雅黑" w:hAnsi="微软雅黑" w:cs="微软雅黑"/>
          <w:i w:val="false"/>
          <w:strike w:val="false"/>
          <w:color w:val="323232"/>
          <w:spacing w:val="0"/>
          <w:sz w:val="28"/>
          <w:u w:val="none"/>
        </w:rPr>
        <w:t>3.发送邮件报名</w:t>
      </w:r>
    </w:p>
    <w:p>
      <w:pPr>
        <w:snapToGrid/>
        <w:spacing w:line="432"/>
        <w:ind w:firstLine="640"/>
        <w:jc w:val="left"/>
        <w:rPr/>
      </w:pPr>
      <w:r>
        <w:rPr>
          <w:rFonts w:ascii="微软雅黑" w:hAnsi="微软雅黑" w:cs="微软雅黑"/>
          <w:i w:val="false"/>
          <w:strike w:val="false"/>
          <w:color w:val="323232"/>
          <w:spacing w:val="0"/>
          <w:sz w:val="28"/>
          <w:u w:val="none"/>
        </w:rPr>
        <w:t>请于2024年6月27日24:00前将上述材料扫描电子档（PDF格式）发送至学院邮箱：24660483@qq.com，（邮件主题标明“XX大学-XX院系-姓名-夏令营申请”，如：湖南科技大学-化学化工学院-张三-夏令营申请），逾期不再接收申请（注：根据报名情况可提前结束报名）。</w:t>
      </w:r>
    </w:p>
    <w:p>
      <w:pPr>
        <w:snapToGrid/>
        <w:spacing w:line="432"/>
        <w:ind w:firstLine="640"/>
        <w:jc w:val="left"/>
        <w:rPr/>
      </w:pPr>
      <w:r>
        <w:rPr>
          <w:rFonts w:ascii="微软雅黑" w:hAnsi="微软雅黑" w:cs="微软雅黑"/>
          <w:i w:val="false"/>
          <w:strike w:val="false"/>
          <w:color w:val="323232"/>
          <w:spacing w:val="0"/>
          <w:sz w:val="28"/>
          <w:u w:val="none"/>
        </w:rPr>
        <w:t>4.材料审核及营员选拔</w:t>
      </w:r>
    </w:p>
    <w:p>
      <w:pPr>
        <w:snapToGrid/>
        <w:spacing w:line="432"/>
        <w:ind w:firstLine="640"/>
        <w:jc w:val="left"/>
        <w:rPr/>
      </w:pPr>
      <w:r>
        <w:rPr>
          <w:rFonts w:ascii="微软雅黑" w:hAnsi="微软雅黑" w:cs="微软雅黑"/>
          <w:i w:val="false"/>
          <w:strike w:val="false"/>
          <w:color w:val="323232"/>
          <w:spacing w:val="0"/>
          <w:sz w:val="28"/>
          <w:u w:val="none"/>
        </w:rPr>
        <w:t>学院将逐一审核申请人提供的各项材料，择优确定夏令营营员名单并报研究生院审核，最终审核通过的夏令营营员名单将于6月28日在学院官网公布（注：如提前结束报名则提前公布）。</w:t>
      </w:r>
    </w:p>
    <w:p>
      <w:pPr>
        <w:snapToGrid/>
        <w:spacing w:line="432"/>
        <w:ind w:firstLine="640"/>
        <w:jc w:val="left"/>
        <w:rPr/>
      </w:pPr>
      <w:r>
        <w:rPr>
          <w:rFonts w:ascii="微软雅黑" w:hAnsi="微软雅黑" w:cs="微软雅黑"/>
          <w:i w:val="false"/>
          <w:strike w:val="false"/>
          <w:color w:val="323232"/>
          <w:spacing w:val="0"/>
          <w:sz w:val="28"/>
          <w:u w:val="none"/>
        </w:rPr>
        <w:t>四、活动安排</w:t>
      </w:r>
    </w:p>
    <w:p>
      <w:pPr>
        <w:snapToGrid/>
        <w:spacing w:line="432"/>
        <w:ind w:firstLine="640"/>
        <w:jc w:val="left"/>
        <w:rPr/>
      </w:pPr>
      <w:r>
        <w:rPr>
          <w:rFonts w:ascii="微软雅黑" w:hAnsi="微软雅黑" w:cs="微软雅黑"/>
          <w:i w:val="false"/>
          <w:strike w:val="false"/>
          <w:color w:val="323232"/>
          <w:spacing w:val="0"/>
          <w:sz w:val="28"/>
          <w:u w:val="none"/>
        </w:rPr>
        <w:t>本次夏令营采取线下形式进行，具体安排包括：</w:t>
      </w:r>
    </w:p>
    <w:p>
      <w:pPr>
        <w:snapToGrid/>
        <w:spacing w:line="432"/>
        <w:ind w:firstLine="640"/>
        <w:jc w:val="left"/>
        <w:rPr/>
      </w:pPr>
      <w:r>
        <w:rPr>
          <w:rFonts w:ascii="微软雅黑" w:hAnsi="微软雅黑" w:cs="微软雅黑"/>
          <w:i w:val="false"/>
          <w:strike w:val="false"/>
          <w:color w:val="323232"/>
          <w:spacing w:val="0"/>
          <w:sz w:val="28"/>
          <w:u w:val="none"/>
        </w:rPr>
        <w:t>1.开营典礼：由学校统一组织，主要包括学校学科学院介绍、学位与研究生教育招生专业及方向介绍等。</w:t>
      </w:r>
    </w:p>
    <w:p>
      <w:pPr>
        <w:snapToGrid/>
        <w:spacing w:line="432"/>
        <w:ind w:firstLine="640"/>
        <w:jc w:val="left"/>
        <w:rPr/>
      </w:pPr>
      <w:r>
        <w:rPr>
          <w:rFonts w:ascii="微软雅黑" w:hAnsi="微软雅黑" w:cs="微软雅黑"/>
          <w:i w:val="false"/>
          <w:strike w:val="false"/>
          <w:color w:val="323232"/>
          <w:spacing w:val="0"/>
          <w:sz w:val="28"/>
          <w:u w:val="none"/>
        </w:rPr>
        <w:t>2.讲座与交流：专家讲座、师生互动、导师交流等。</w:t>
      </w:r>
    </w:p>
    <w:p>
      <w:pPr>
        <w:snapToGrid/>
        <w:spacing w:line="432"/>
        <w:ind w:firstLine="640"/>
        <w:jc w:val="left"/>
        <w:rPr/>
      </w:pPr>
      <w:r>
        <w:rPr>
          <w:rFonts w:ascii="微软雅黑" w:hAnsi="微软雅黑" w:cs="微软雅黑"/>
          <w:i w:val="false"/>
          <w:strike w:val="false"/>
          <w:color w:val="323232"/>
          <w:spacing w:val="0"/>
          <w:sz w:val="28"/>
          <w:u w:val="none"/>
        </w:rPr>
        <w:t>3.素质拓展：户外团建、团队协作、沟通能力、学习能力提升等。</w:t>
      </w:r>
    </w:p>
    <w:p>
      <w:pPr>
        <w:snapToGrid/>
        <w:spacing w:line="432"/>
        <w:ind w:firstLine="640"/>
        <w:jc w:val="left"/>
        <w:rPr/>
      </w:pPr>
      <w:r>
        <w:rPr>
          <w:rFonts w:ascii="微软雅黑" w:hAnsi="微软雅黑" w:cs="微软雅黑"/>
          <w:i w:val="false"/>
          <w:strike w:val="false"/>
          <w:color w:val="323232"/>
          <w:spacing w:val="0"/>
          <w:sz w:val="28"/>
          <w:u w:val="none"/>
        </w:rPr>
        <w:t>4.结业与评优：圆满完成夏令营活动者颁发结业证书；表现突出者评选优秀营员。</w:t>
      </w:r>
    </w:p>
    <w:p>
      <w:pPr>
        <w:snapToGrid/>
        <w:spacing w:line="432"/>
        <w:ind w:firstLine="640"/>
        <w:jc w:val="left"/>
        <w:rPr/>
      </w:pPr>
      <w:r>
        <w:rPr>
          <w:rFonts w:ascii="微软雅黑" w:hAnsi="微软雅黑" w:cs="微软雅黑"/>
          <w:i w:val="false"/>
          <w:strike w:val="false"/>
          <w:color w:val="323232"/>
          <w:spacing w:val="0"/>
          <w:sz w:val="28"/>
          <w:u w:val="none"/>
        </w:rPr>
        <w:t>五、政策支持</w:t>
      </w:r>
    </w:p>
    <w:p>
      <w:pPr>
        <w:snapToGrid/>
        <w:spacing w:line="432"/>
        <w:ind w:firstLine="640"/>
        <w:jc w:val="left"/>
        <w:rPr/>
      </w:pPr>
      <w:r>
        <w:rPr>
          <w:rFonts w:ascii="微软雅黑" w:hAnsi="微软雅黑" w:cs="微软雅黑"/>
          <w:i w:val="false"/>
          <w:strike w:val="false"/>
          <w:color w:val="323232"/>
          <w:spacing w:val="0"/>
          <w:sz w:val="28"/>
          <w:u w:val="none"/>
        </w:rPr>
        <w:t>1.学习保障：学院安排资深专业教师担任班主任，安排导师对接营员，安排成长辅导员。</w:t>
      </w:r>
    </w:p>
    <w:p>
      <w:pPr>
        <w:snapToGrid/>
        <w:spacing w:line="432"/>
        <w:ind w:firstLine="640"/>
        <w:jc w:val="left"/>
        <w:rPr/>
      </w:pPr>
      <w:r>
        <w:rPr>
          <w:rFonts w:ascii="微软雅黑" w:hAnsi="微软雅黑" w:cs="微软雅黑"/>
          <w:i w:val="false"/>
          <w:strike w:val="false"/>
          <w:color w:val="323232"/>
          <w:spacing w:val="0"/>
          <w:sz w:val="28"/>
          <w:u w:val="none"/>
        </w:rPr>
        <w:t>2.食宿安排：学校为所有营员提供免费用餐（餐标：50元/天）；为所有校外营员提供免费住宿（学校学术交流中心双标或单间）；为所有营员免费提供统一着装（文化衫）。</w:t>
      </w:r>
    </w:p>
    <w:p>
      <w:pPr>
        <w:snapToGrid/>
        <w:spacing w:line="432"/>
        <w:ind w:firstLine="640"/>
        <w:jc w:val="left"/>
        <w:rPr/>
      </w:pPr>
      <w:r>
        <w:rPr>
          <w:rFonts w:ascii="微软雅黑" w:hAnsi="微软雅黑" w:cs="微软雅黑"/>
          <w:i w:val="false"/>
          <w:strike w:val="false"/>
          <w:color w:val="323232"/>
          <w:spacing w:val="0"/>
          <w:sz w:val="28"/>
          <w:u w:val="none"/>
        </w:rPr>
        <w:t>3.交通补助：为鼓励校外高校大学生报名，对省外高校营员提供150元交通补助，对省内校外营员提供75元交通补助。</w:t>
      </w:r>
    </w:p>
    <w:p>
      <w:pPr>
        <w:snapToGrid/>
        <w:spacing w:line="432"/>
        <w:ind w:firstLine="640"/>
        <w:jc w:val="left"/>
        <w:rPr/>
      </w:pPr>
      <w:r>
        <w:rPr>
          <w:rFonts w:ascii="微软雅黑" w:hAnsi="微软雅黑" w:cs="微软雅黑"/>
          <w:i w:val="false"/>
          <w:strike w:val="false"/>
          <w:color w:val="323232"/>
          <w:spacing w:val="0"/>
          <w:sz w:val="28"/>
          <w:u w:val="none"/>
        </w:rPr>
        <w:t>4.安全保障：为全体营员购买意外伤害保险。</w:t>
      </w:r>
    </w:p>
    <w:p>
      <w:pPr>
        <w:snapToGrid/>
        <w:spacing w:line="432"/>
        <w:ind w:firstLine="640"/>
        <w:jc w:val="left"/>
        <w:rPr/>
      </w:pPr>
      <w:r>
        <w:rPr>
          <w:rFonts w:ascii="微软雅黑" w:hAnsi="微软雅黑" w:cs="微软雅黑"/>
          <w:i w:val="false"/>
          <w:strike w:val="false"/>
          <w:color w:val="323232"/>
          <w:spacing w:val="0"/>
          <w:sz w:val="28"/>
          <w:u w:val="none"/>
        </w:rPr>
        <w:t>5.录取优惠：对于取得推免资格的优秀营员在同等条件下可优先获得我校2025年推免生拟录取资格；对于未取得推免资格的优秀营员，报名参加2025年全国硕士研究生招生考试、第一志愿报考我校且初试成绩达到报考专业复试分数线的，同等条件下优先录取。</w:t>
      </w:r>
    </w:p>
    <w:p>
      <w:pPr>
        <w:snapToGrid/>
        <w:spacing w:line="432"/>
        <w:ind w:firstLine="640"/>
        <w:jc w:val="left"/>
        <w:rPr/>
      </w:pPr>
      <w:r>
        <w:rPr>
          <w:rFonts w:ascii="微软雅黑" w:hAnsi="微软雅黑" w:cs="微软雅黑"/>
          <w:i w:val="false"/>
          <w:strike w:val="false"/>
          <w:color w:val="323232"/>
          <w:spacing w:val="0"/>
          <w:sz w:val="28"/>
          <w:u w:val="none"/>
        </w:rPr>
        <w:t>六、联系方式</w:t>
      </w:r>
    </w:p>
    <w:p>
      <w:pPr>
        <w:snapToGrid/>
        <w:spacing w:line="432"/>
        <w:ind w:firstLine="640"/>
        <w:jc w:val="left"/>
        <w:rPr/>
      </w:pPr>
      <w:r>
        <w:rPr>
          <w:rFonts w:ascii="微软雅黑" w:hAnsi="微软雅黑" w:cs="微软雅黑"/>
          <w:i w:val="false"/>
          <w:strike w:val="false"/>
          <w:color w:val="323232"/>
          <w:spacing w:val="0"/>
          <w:sz w:val="28"/>
          <w:u w:val="none"/>
        </w:rPr>
        <w:t>交流QQ群：427576077；请实名（格式：**大学-**学院-张三）加入“ 化学化工学院2024年学术夏令营”QQ群。</w:t>
      </w:r>
    </w:p>
    <w:p>
      <w:pPr>
        <w:snapToGrid/>
        <w:spacing w:line="432"/>
        <w:ind w:firstLine="640"/>
        <w:jc w:val="left"/>
        <w:rPr/>
      </w:pPr>
      <w:r>
        <w:rPr>
          <w:rFonts w:ascii="微软雅黑" w:hAnsi="微软雅黑" w:cs="微软雅黑"/>
          <w:i w:val="false"/>
          <w:strike w:val="false"/>
          <w:color w:val="323232"/>
          <w:spacing w:val="0"/>
          <w:sz w:val="28"/>
          <w:u w:val="none"/>
        </w:rPr>
        <w:t>通讯地址：湖南省湘潭市雨湖区湖南科技大学化学化工学院化工楼311室</w:t>
      </w:r>
    </w:p>
    <w:p>
      <w:pPr>
        <w:snapToGrid/>
        <w:spacing w:line="432"/>
        <w:ind w:firstLine="640"/>
        <w:jc w:val="left"/>
        <w:rPr/>
      </w:pPr>
      <w:r>
        <w:rPr>
          <w:rFonts w:ascii="微软雅黑" w:hAnsi="微软雅黑" w:cs="微软雅黑"/>
          <w:i w:val="false"/>
          <w:strike w:val="false"/>
          <w:color w:val="323232"/>
          <w:spacing w:val="0"/>
          <w:sz w:val="28"/>
          <w:u w:val="none"/>
        </w:rPr>
        <w:t>邮编：411201</w:t>
      </w:r>
    </w:p>
    <w:p>
      <w:pPr>
        <w:snapToGrid/>
        <w:spacing w:line="432"/>
        <w:ind w:firstLine="640"/>
        <w:jc w:val="left"/>
        <w:rPr/>
      </w:pPr>
      <w:r>
        <w:rPr>
          <w:rFonts w:ascii="微软雅黑" w:hAnsi="微软雅黑" w:cs="微软雅黑"/>
          <w:i w:val="false"/>
          <w:strike w:val="false"/>
          <w:color w:val="323232"/>
          <w:spacing w:val="0"/>
          <w:sz w:val="28"/>
          <w:u w:val="none"/>
        </w:rPr>
        <w:t>电话：0731-58290045</w:t>
      </w:r>
    </w:p>
    <w:p>
      <w:pPr>
        <w:snapToGrid/>
        <w:spacing w:line="432"/>
        <w:ind w:firstLine="640"/>
        <w:jc w:val="left"/>
        <w:rPr/>
      </w:pPr>
      <w:r>
        <w:rPr>
          <w:rFonts w:ascii="微软雅黑" w:hAnsi="微软雅黑" w:cs="微软雅黑"/>
          <w:i w:val="false"/>
          <w:strike w:val="false"/>
          <w:color w:val="323232"/>
          <w:spacing w:val="0"/>
          <w:sz w:val="28"/>
          <w:u w:val="none"/>
        </w:rPr>
        <w:t>联系人：曾华 老师</w:t>
      </w:r>
    </w:p>
    <w:p>
      <w:pPr>
        <w:snapToGrid/>
        <w:spacing w:line="432"/>
        <w:ind w:firstLine="640"/>
        <w:jc w:val="left"/>
        <w:rPr/>
      </w:pPr>
      <w:r>
        <w:rPr>
          <w:rFonts w:ascii="微软雅黑" w:hAnsi="微软雅黑" w:cs="微软雅黑"/>
          <w:i w:val="false"/>
          <w:strike w:val="false"/>
          <w:color w:val="323232"/>
          <w:spacing w:val="0"/>
          <w:sz w:val="28"/>
          <w:u w:val="none"/>
        </w:rPr>
        <w:t>附件：湖南科技大学化学化工学院2024年大学生学术夏令营申请表</w:t>
      </w:r>
    </w:p>
    <w:p>
      <w:pPr>
        <w:snapToGrid/>
        <w:spacing w:line="432"/>
        <w:ind w:firstLine="640"/>
        <w:jc w:val="right"/>
        <w:rPr/>
      </w:pPr>
      <w:r>
        <w:rPr>
          <w:rFonts w:ascii="微软雅黑" w:hAnsi="微软雅黑" w:cs="微软雅黑"/>
          <w:i w:val="false"/>
          <w:strike w:val="false"/>
          <w:color w:val="323232"/>
          <w:spacing w:val="0"/>
          <w:sz w:val="28"/>
          <w:u w:val="none"/>
        </w:rPr>
        <w:t>湖南科技大学化学化工学院</w:t>
      </w:r>
    </w:p>
    <w:p>
      <w:pPr>
        <w:snapToGrid/>
        <w:spacing w:line="432"/>
        <w:ind w:firstLine="640"/>
        <w:jc w:val="right"/>
        <w:rPr/>
      </w:pPr>
      <w:r>
        <w:rPr>
          <w:rFonts w:ascii="微软雅黑" w:hAnsi="微软雅黑" w:cs="微软雅黑"/>
          <w:i w:val="false"/>
          <w:strike w:val="false"/>
          <w:color w:val="323232"/>
          <w:spacing w:val="0"/>
          <w:sz w:val="28"/>
          <w:u w:val="none"/>
        </w:rPr>
        <w:t>2024年6月18日</w:t>
      </w:r>
    </w:p>
    <w:p>
      <w:pPr>
        <w:snapToGrid/>
        <w:spacing w:line="240"/>
        <w:ind w:hanging="0"/>
        <w:rPr/>
      </w:pPr>
    </w:p>
    <w:p>
      <w:pPr>
        <w:snapToGrid/>
        <w:spacing w:line="240"/>
        <w:ind/>
        <w:rPr/>
      </w:pPr>
    </w:p>
    <w:p>
      <w:pPr>
        <w:pStyle w:val="000004"/>
        <w:snapToGrid/>
        <w:spacing w:line="327"/>
        <w:ind w:hanging="0"/>
        <w:jc w:val="center"/>
        <w:rPr/>
      </w:pPr>
      <w:r>
        <w:rPr>
          <w:rFonts w:ascii="微软雅黑" w:hAnsi="微软雅黑" w:cs="微软雅黑"/>
          <w:i w:val="false"/>
          <w:strike w:val="false"/>
          <w:color w:val="666666"/>
          <w:spacing w:val="0"/>
          <w:sz w:val="33"/>
          <w:u w:val="none"/>
        </w:rPr>
        <w:t>数学与计算科学学院推免测评分公示</w:t>
      </w:r>
    </w:p>
    <w:p>
      <w:pPr>
        <w:snapToGrid/>
        <w:spacing w:before="0" w:after="200" w:line="276"/>
        <w:ind w:left="0" w:right="0" w:firstLine="560"/>
        <w:jc w:val="both"/>
        <w:rPr/>
      </w:pPr>
      <w:r>
        <w:rPr>
          <w:rFonts w:ascii="微软雅黑" w:hAnsi="微软雅黑" w:cs="微软雅黑"/>
          <w:i w:val="false"/>
          <w:strike w:val="false"/>
          <w:color w:val="666666"/>
          <w:spacing w:val="0"/>
          <w:sz w:val="28"/>
          <w:u w:val="none"/>
        </w:rPr>
        <w:t>按照《湖南科技大学推荐优秀应届本科毕业生免试攻读硕士学位研究生工作实施办法》（科大政发〔2017〕92号）、《数学与计算科学学院推荐优秀应届本科毕业生免试攻读硕士学位研究生工作实施细则》和学校《关于做好2022年推荐优秀应届本科毕业生免试攻读研究生工作的通知》的精神，经本人申请、教务办计分结果如下表所示：</w:t>
      </w:r>
    </w:p>
    <w:tbl>
      <w:tblPr>
        <w:tblStyle w:val="000015"/>
        <w:tblLayout w:type="fixed"/>
      </w:tblPr>
      <w:tblGrid>
        <w:gridCol w:w="855"/>
        <w:gridCol w:w="1395"/>
        <w:gridCol w:w="855"/>
        <w:gridCol w:w="690"/>
        <w:gridCol w:w="660"/>
        <w:gridCol w:w="1215"/>
        <w:gridCol w:w="855"/>
        <w:gridCol w:w="720"/>
      </w:tblGrid>
      <w:tr>
        <w:trPr>
          <w:trHeight w:val="790"/>
        </w:trPr>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b/>
                <w:i w:val="false"/>
                <w:strike w:val="false"/>
                <w:color w:val="000000"/>
                <w:spacing w:val="0"/>
                <w:sz w:val="28"/>
                <w:u w:val="none"/>
                <w:vertAlign w:val="baseline"/>
              </w:rPr>
              <w:t>专业</w:t>
            </w:r>
          </w:p>
        </w:tc>
        <w:tc>
          <w:tcPr>
            <w:tcW w:w="139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b/>
                <w:i w:val="false"/>
                <w:strike w:val="false"/>
                <w:color w:val="000000"/>
                <w:spacing w:val="0"/>
                <w:sz w:val="28"/>
                <w:u w:val="none"/>
                <w:vertAlign w:val="baseline"/>
              </w:rPr>
              <w:t>学号</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b/>
                <w:i w:val="false"/>
                <w:strike w:val="false"/>
                <w:color w:val="000000"/>
                <w:spacing w:val="0"/>
                <w:sz w:val="28"/>
                <w:u w:val="none"/>
                <w:vertAlign w:val="baseline"/>
              </w:rPr>
              <w:t>姓名</w:t>
            </w:r>
          </w:p>
        </w:tc>
        <w:tc>
          <w:tcPr>
            <w:tcW w:w="69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b/>
                <w:i w:val="false"/>
                <w:strike w:val="false"/>
                <w:color w:val="000000"/>
                <w:spacing w:val="0"/>
                <w:sz w:val="28"/>
                <w:u w:val="none"/>
                <w:vertAlign w:val="baseline"/>
              </w:rPr>
              <w:t>学业成绩</w:t>
            </w:r>
          </w:p>
        </w:tc>
        <w:tc>
          <w:tcPr>
            <w:tcW w:w="6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b/>
                <w:i w:val="false"/>
                <w:strike w:val="false"/>
                <w:color w:val="000000"/>
                <w:spacing w:val="0"/>
                <w:sz w:val="28"/>
                <w:u w:val="none"/>
                <w:vertAlign w:val="baseline"/>
              </w:rPr>
              <w:t>德育表现</w:t>
            </w:r>
          </w:p>
        </w:tc>
        <w:tc>
          <w:tcPr>
            <w:tcW w:w="12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b/>
                <w:i w:val="false"/>
                <w:strike w:val="false"/>
                <w:color w:val="000000"/>
                <w:spacing w:val="0"/>
                <w:sz w:val="28"/>
                <w:u w:val="none"/>
                <w:vertAlign w:val="baseline"/>
              </w:rPr>
              <w:t>研究与创新能力</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b/>
                <w:i w:val="false"/>
                <w:strike w:val="false"/>
                <w:color w:val="000000"/>
                <w:spacing w:val="0"/>
                <w:sz w:val="28"/>
                <w:u w:val="none"/>
                <w:vertAlign w:val="baseline"/>
              </w:rPr>
              <w:t>综合测评分</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b/>
                <w:i w:val="false"/>
                <w:strike w:val="false"/>
                <w:color w:val="000000"/>
                <w:spacing w:val="0"/>
                <w:sz w:val="28"/>
                <w:u w:val="none"/>
                <w:vertAlign w:val="baseline"/>
              </w:rPr>
              <w:t>排名</w:t>
            </w:r>
          </w:p>
        </w:tc>
      </w:tr>
      <w:tr>
        <w:trPr>
          <w:trHeight w:val="504"/>
        </w:trPr>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数学</w:t>
            </w:r>
          </w:p>
        </w:tc>
        <w:tc>
          <w:tcPr>
            <w:tcW w:w="139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1807010115</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许奕喆</w:t>
            </w:r>
          </w:p>
        </w:tc>
        <w:tc>
          <w:tcPr>
            <w:tcW w:w="69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82.56 </w:t>
            </w:r>
          </w:p>
        </w:tc>
        <w:tc>
          <w:tcPr>
            <w:tcW w:w="6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0.4</w:t>
            </w:r>
          </w:p>
        </w:tc>
        <w:tc>
          <w:tcPr>
            <w:tcW w:w="12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7.533</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90.49 </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1</w:t>
            </w:r>
          </w:p>
        </w:tc>
      </w:tr>
      <w:tr>
        <w:trPr>
          <w:trHeight w:val="504"/>
        </w:trPr>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数学</w:t>
            </w:r>
          </w:p>
        </w:tc>
        <w:tc>
          <w:tcPr>
            <w:tcW w:w="139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1807010107</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任星威</w:t>
            </w:r>
          </w:p>
        </w:tc>
        <w:tc>
          <w:tcPr>
            <w:tcW w:w="69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84.56 </w:t>
            </w:r>
          </w:p>
        </w:tc>
        <w:tc>
          <w:tcPr>
            <w:tcW w:w="6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0.6</w:t>
            </w:r>
          </w:p>
        </w:tc>
        <w:tc>
          <w:tcPr>
            <w:tcW w:w="12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3.9</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89.06 </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2</w:t>
            </w:r>
          </w:p>
        </w:tc>
      </w:tr>
      <w:tr>
        <w:trPr>
          <w:trHeight w:val="227"/>
        </w:trPr>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数学</w:t>
            </w:r>
          </w:p>
        </w:tc>
        <w:tc>
          <w:tcPr>
            <w:tcW w:w="139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1807010103</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向志勇</w:t>
            </w:r>
          </w:p>
        </w:tc>
        <w:tc>
          <w:tcPr>
            <w:tcW w:w="69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82.11 </w:t>
            </w:r>
          </w:p>
        </w:tc>
        <w:tc>
          <w:tcPr>
            <w:tcW w:w="6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0</w:t>
            </w:r>
          </w:p>
        </w:tc>
        <w:tc>
          <w:tcPr>
            <w:tcW w:w="12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3.133</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85.25 </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3</w:t>
            </w:r>
          </w:p>
        </w:tc>
      </w:tr>
      <w:tr>
        <w:trPr>
          <w:trHeight w:val="227"/>
        </w:trPr>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数学</w:t>
            </w:r>
          </w:p>
        </w:tc>
        <w:tc>
          <w:tcPr>
            <w:tcW w:w="139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1807010217</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罗莎</w:t>
            </w:r>
          </w:p>
        </w:tc>
        <w:tc>
          <w:tcPr>
            <w:tcW w:w="69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82.78 </w:t>
            </w:r>
          </w:p>
        </w:tc>
        <w:tc>
          <w:tcPr>
            <w:tcW w:w="6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0.2</w:t>
            </w:r>
          </w:p>
        </w:tc>
        <w:tc>
          <w:tcPr>
            <w:tcW w:w="12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0.266</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83.25 </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4</w:t>
            </w:r>
          </w:p>
        </w:tc>
      </w:tr>
      <w:tr>
        <w:trPr>
          <w:trHeight w:val="227"/>
        </w:trPr>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数学</w:t>
            </w:r>
          </w:p>
        </w:tc>
        <w:tc>
          <w:tcPr>
            <w:tcW w:w="139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1807010223</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章洁灵</w:t>
            </w:r>
          </w:p>
        </w:tc>
        <w:tc>
          <w:tcPr>
            <w:tcW w:w="69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80.78 </w:t>
            </w:r>
          </w:p>
        </w:tc>
        <w:tc>
          <w:tcPr>
            <w:tcW w:w="6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0.4</w:t>
            </w:r>
          </w:p>
        </w:tc>
        <w:tc>
          <w:tcPr>
            <w:tcW w:w="12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1.4</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82.58 </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5</w:t>
            </w:r>
          </w:p>
        </w:tc>
      </w:tr>
      <w:tr>
        <w:trPr>
          <w:trHeight w:val="227"/>
        </w:trPr>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信计</w:t>
            </w:r>
          </w:p>
        </w:tc>
        <w:tc>
          <w:tcPr>
            <w:tcW w:w="139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1807020220</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徐浩然</w:t>
            </w:r>
          </w:p>
        </w:tc>
        <w:tc>
          <w:tcPr>
            <w:tcW w:w="69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83.37 </w:t>
            </w:r>
          </w:p>
        </w:tc>
        <w:tc>
          <w:tcPr>
            <w:tcW w:w="6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0</w:t>
            </w:r>
          </w:p>
        </w:tc>
        <w:tc>
          <w:tcPr>
            <w:tcW w:w="12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4.7</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88.07 </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1</w:t>
            </w:r>
          </w:p>
        </w:tc>
      </w:tr>
      <w:tr>
        <w:trPr>
          <w:trHeight w:val="227"/>
        </w:trPr>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信计</w:t>
            </w:r>
          </w:p>
        </w:tc>
        <w:tc>
          <w:tcPr>
            <w:tcW w:w="139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1807020327</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熊思婷</w:t>
            </w:r>
          </w:p>
        </w:tc>
        <w:tc>
          <w:tcPr>
            <w:tcW w:w="69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85.00 </w:t>
            </w:r>
          </w:p>
        </w:tc>
        <w:tc>
          <w:tcPr>
            <w:tcW w:w="6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0.4</w:t>
            </w:r>
          </w:p>
        </w:tc>
        <w:tc>
          <w:tcPr>
            <w:tcW w:w="12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0.7</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86.10 </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2</w:t>
            </w:r>
          </w:p>
        </w:tc>
      </w:tr>
      <w:tr>
        <w:trPr>
          <w:trHeight w:val="227"/>
        </w:trPr>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信计</w:t>
            </w:r>
          </w:p>
        </w:tc>
        <w:tc>
          <w:tcPr>
            <w:tcW w:w="139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1807020223</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刘若文</w:t>
            </w:r>
          </w:p>
        </w:tc>
        <w:tc>
          <w:tcPr>
            <w:tcW w:w="69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82.43 </w:t>
            </w:r>
          </w:p>
        </w:tc>
        <w:tc>
          <w:tcPr>
            <w:tcW w:w="6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0.2</w:t>
            </w:r>
          </w:p>
        </w:tc>
        <w:tc>
          <w:tcPr>
            <w:tcW w:w="12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0.6</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83.23 </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3</w:t>
            </w:r>
          </w:p>
        </w:tc>
      </w:tr>
      <w:tr>
        <w:trPr>
          <w:trHeight w:val="227"/>
        </w:trPr>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信计</w:t>
            </w:r>
          </w:p>
        </w:tc>
        <w:tc>
          <w:tcPr>
            <w:tcW w:w="139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1807020325</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刘语嘉</w:t>
            </w:r>
          </w:p>
        </w:tc>
        <w:tc>
          <w:tcPr>
            <w:tcW w:w="69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83.13 </w:t>
            </w:r>
          </w:p>
        </w:tc>
        <w:tc>
          <w:tcPr>
            <w:tcW w:w="6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0</w:t>
            </w:r>
          </w:p>
        </w:tc>
        <w:tc>
          <w:tcPr>
            <w:tcW w:w="12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0.033</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83.16 </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4</w:t>
            </w:r>
          </w:p>
        </w:tc>
      </w:tr>
      <w:tr>
        <w:trPr>
          <w:trHeight w:val="227"/>
        </w:trPr>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信计</w:t>
            </w:r>
          </w:p>
        </w:tc>
        <w:tc>
          <w:tcPr>
            <w:tcW w:w="139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1807020129</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谌雅凤</w:t>
            </w:r>
          </w:p>
        </w:tc>
        <w:tc>
          <w:tcPr>
            <w:tcW w:w="69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80.56 </w:t>
            </w:r>
          </w:p>
        </w:tc>
        <w:tc>
          <w:tcPr>
            <w:tcW w:w="6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0.2</w:t>
            </w:r>
          </w:p>
        </w:tc>
        <w:tc>
          <w:tcPr>
            <w:tcW w:w="12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0.173</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80.94 </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5</w:t>
            </w:r>
          </w:p>
        </w:tc>
      </w:tr>
      <w:tr>
        <w:trPr>
          <w:trHeight w:val="227"/>
        </w:trPr>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统计</w:t>
            </w:r>
          </w:p>
        </w:tc>
        <w:tc>
          <w:tcPr>
            <w:tcW w:w="139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1807030214</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李泽英</w:t>
            </w:r>
          </w:p>
        </w:tc>
        <w:tc>
          <w:tcPr>
            <w:tcW w:w="69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85.00 </w:t>
            </w:r>
          </w:p>
        </w:tc>
        <w:tc>
          <w:tcPr>
            <w:tcW w:w="6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0.4</w:t>
            </w:r>
          </w:p>
        </w:tc>
        <w:tc>
          <w:tcPr>
            <w:tcW w:w="12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1.467</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86.87 </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1</w:t>
            </w:r>
          </w:p>
        </w:tc>
      </w:tr>
      <w:tr>
        <w:trPr>
          <w:trHeight w:val="227"/>
        </w:trPr>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统计</w:t>
            </w:r>
          </w:p>
        </w:tc>
        <w:tc>
          <w:tcPr>
            <w:tcW w:w="139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1807030111</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李盼</w:t>
            </w:r>
          </w:p>
        </w:tc>
        <w:tc>
          <w:tcPr>
            <w:tcW w:w="69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83.84 </w:t>
            </w:r>
          </w:p>
        </w:tc>
        <w:tc>
          <w:tcPr>
            <w:tcW w:w="6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0.2</w:t>
            </w:r>
          </w:p>
        </w:tc>
        <w:tc>
          <w:tcPr>
            <w:tcW w:w="12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2</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86.04 </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2</w:t>
            </w:r>
          </w:p>
        </w:tc>
      </w:tr>
      <w:tr>
        <w:trPr>
          <w:trHeight w:val="227"/>
        </w:trPr>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统计</w:t>
            </w:r>
          </w:p>
        </w:tc>
        <w:tc>
          <w:tcPr>
            <w:tcW w:w="139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1807030114</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刘子惠</w:t>
            </w:r>
          </w:p>
        </w:tc>
        <w:tc>
          <w:tcPr>
            <w:tcW w:w="69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83.84 </w:t>
            </w:r>
          </w:p>
        </w:tc>
        <w:tc>
          <w:tcPr>
            <w:tcW w:w="6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0</w:t>
            </w:r>
          </w:p>
        </w:tc>
        <w:tc>
          <w:tcPr>
            <w:tcW w:w="12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微软雅黑" w:hAnsi="微软雅黑" w:cs="微软雅黑"/>
                <w:i w:val="false"/>
                <w:strike w:val="false"/>
                <w:color w:val="000000"/>
                <w:spacing w:val="0"/>
                <w:sz w:val="28"/>
                <w:u w:val="none"/>
                <w:vertAlign w:val="baseline"/>
              </w:rPr>
              <w:t>0.133</w:t>
            </w:r>
          </w:p>
        </w:tc>
        <w:tc>
          <w:tcPr>
            <w:tcW w:w="8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 xml:space="preserve">83.97 </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200" w:line="276"/>
              <w:ind w:left="0" w:right="0"/>
              <w:jc w:val="center"/>
              <w:rPr/>
            </w:pPr>
            <w:r>
              <w:rPr>
                <w:rFonts w:ascii="times new roman" w:hAnsi="times new roman" w:cs="times new roman"/>
                <w:i w:val="false"/>
                <w:strike w:val="false"/>
                <w:color w:val="000000"/>
                <w:spacing w:val="0"/>
                <w:sz w:val="28"/>
                <w:u w:val="none"/>
                <w:vertAlign w:val="baseline"/>
              </w:rPr>
              <w:t>3</w:t>
            </w:r>
          </w:p>
        </w:tc>
      </w:tr>
    </w:tbl>
    <w:p>
      <w:pPr>
        <w:snapToGrid/>
        <w:spacing w:before="0" w:after="200" w:line="500"/>
        <w:ind w:left="0" w:right="0" w:firstLine="420"/>
        <w:jc w:val="both"/>
        <w:rPr/>
      </w:pPr>
      <w:r>
        <w:rPr>
          <w:rFonts w:ascii="微软雅黑" w:hAnsi="微软雅黑" w:cs="微软雅黑"/>
          <w:i w:val="false"/>
          <w:strike w:val="false"/>
          <w:color w:val="666666"/>
          <w:spacing w:val="0"/>
          <w:sz w:val="28"/>
          <w:u w:val="none"/>
        </w:rPr>
        <w:t xml:space="preserve">    公示期：2021年9月13日—9月15日</w:t>
      </w:r>
    </w:p>
    <w:p>
      <w:pPr>
        <w:snapToGrid/>
        <w:spacing w:before="0" w:after="200" w:line="500"/>
        <w:ind w:left="0" w:right="0" w:firstLine="420"/>
        <w:jc w:val="both"/>
        <w:rPr/>
      </w:pPr>
      <w:r>
        <w:rPr>
          <w:rFonts w:ascii="微软雅黑" w:hAnsi="微软雅黑" w:cs="微软雅黑"/>
          <w:i w:val="false"/>
          <w:strike w:val="false"/>
          <w:color w:val="666666"/>
          <w:spacing w:val="0"/>
          <w:sz w:val="28"/>
          <w:u w:val="none"/>
        </w:rPr>
        <w:t xml:space="preserve">    如有异议，请联系数学与计算科学学院教务办，电话:58291382</w:t>
      </w:r>
    </w:p>
    <w:p>
      <w:pPr>
        <w:snapToGrid/>
        <w:spacing w:before="0" w:after="200" w:line="500"/>
        <w:ind w:left="0" w:right="0" w:firstLine="4760"/>
        <w:jc w:val="both"/>
        <w:rPr/>
      </w:pPr>
      <w:r>
        <w:rPr>
          <w:rFonts w:ascii="微软雅黑" w:hAnsi="微软雅黑" w:cs="微软雅黑"/>
          <w:i w:val="false"/>
          <w:strike w:val="false"/>
          <w:color w:val="666666"/>
          <w:spacing w:val="0"/>
          <w:sz w:val="28"/>
          <w:u w:val="none"/>
        </w:rPr>
        <w:t>湖南科技大学数学与计算科学学院</w:t>
      </w:r>
    </w:p>
    <w:p>
      <w:pPr>
        <w:snapToGrid/>
        <w:spacing w:before="0" w:after="200" w:line="500"/>
        <w:ind w:left="0" w:right="0" w:hanging="0"/>
        <w:jc w:val="both"/>
        <w:rPr/>
      </w:pPr>
      <w:r>
        <w:rPr>
          <w:rFonts w:ascii="微软雅黑" w:hAnsi="微软雅黑" w:cs="微软雅黑"/>
          <w:i w:val="false"/>
          <w:strike w:val="false"/>
          <w:color w:val="666666"/>
          <w:spacing w:val="0"/>
          <w:sz w:val="28"/>
          <w:u w:val="none"/>
        </w:rPr>
        <w:t xml:space="preserve">                                                                                 2021年9月13日</w:t>
      </w:r>
    </w:p>
    <w:p>
      <w:pPr>
        <w:snapToGrid/>
        <w:spacing w:before="0" w:after="0" w:line="600"/>
        <w:ind w:left="0" w:right="0" w:hanging="0"/>
        <w:jc w:val="center"/>
        <w:rPr/>
      </w:pPr>
      <w:r>
        <w:rPr>
          <w:rFonts w:ascii="微软雅黑" w:hAnsi="微软雅黑" w:cs="微软雅黑"/>
          <w:b/>
          <w:i w:val="false"/>
          <w:strike w:val="false"/>
          <w:color w:val="323232"/>
          <w:spacing w:val="0"/>
          <w:sz w:val="44"/>
          <w:u w:val="none"/>
        </w:rPr>
        <w:t>物理与电子科学学院2025届应届本科</w:t>
      </w:r>
    </w:p>
    <w:p>
      <w:pPr>
        <w:snapToGrid/>
        <w:spacing w:before="0" w:after="0" w:line="600"/>
        <w:ind w:left="0" w:right="0" w:hanging="0"/>
        <w:jc w:val="center"/>
        <w:rPr/>
      </w:pPr>
      <w:r>
        <w:rPr>
          <w:rFonts w:ascii="微软雅黑" w:hAnsi="微软雅黑" w:cs="微软雅黑"/>
          <w:b/>
          <w:i w:val="false"/>
          <w:strike w:val="false"/>
          <w:color w:val="323232"/>
          <w:spacing w:val="0"/>
          <w:sz w:val="44"/>
          <w:u w:val="none"/>
        </w:rPr>
        <w:t>毕业生“推免生”名单公示</w:t>
      </w:r>
      <w:r>
        <w:rPr>
          <w:rFonts w:ascii="微软雅黑" w:hAnsi="微软雅黑" w:cs="微软雅黑"/>
          <w:i w:val="false"/>
          <w:strike w:val="false"/>
          <w:color w:val="323232"/>
          <w:spacing w:val="0"/>
          <w:sz w:val="32"/>
          <w:u w:val="none"/>
        </w:rPr>
        <w:t xml:space="preserve"> </w:t>
      </w:r>
    </w:p>
    <w:p>
      <w:pPr>
        <w:snapToGrid/>
        <w:spacing w:before="0" w:after="0" w:line="600"/>
        <w:ind w:left="0" w:right="0" w:firstLine="640"/>
        <w:jc w:val="both"/>
        <w:rPr/>
      </w:pPr>
      <w:r>
        <w:rPr>
          <w:rFonts w:ascii="微软雅黑" w:hAnsi="微软雅黑" w:cs="微软雅黑"/>
          <w:i w:val="false"/>
          <w:strike w:val="false"/>
          <w:color w:val="323232"/>
          <w:spacing w:val="0"/>
          <w:sz w:val="28"/>
          <w:u w:val="none"/>
        </w:rPr>
        <w:t>根据学校《湖南科技大学推荐优秀应届本科毕业生免试攻读硕士学位研究生工作实施办法（修订）》（科大政发【2024】64号)（以下简称《推免办法》）以及学校《关于做好2025年推荐优秀应届本科毕业生免试攻读研究生工作的通知》等相关文件精神，经湖南科技大学物理与电子科学学院推荐工作小组及专家审核小组审定，决定推荐何诗颖(2101020224)、周嘉欣（2102090222）、张钰（2108010321）、龚红方（2108010332）、易婉（2108010329）、雷鹏亮（2108020206）、莫凯峰（2108020315）、刘海文（2108020314）、谢果珍（2108020127）、陈芝伊（2108020329）、张熙宇（2108040307）、胡帅帅（2108040213）、刘红杰（2108040101）、邓比新（2108040404）、彭威华（2108050226）、张厚志（2108050101）16名同学为2025届免试攻读硕士学位研究生人选，现予以公示。</w:t>
      </w:r>
    </w:p>
    <w:p>
      <w:pPr>
        <w:snapToGrid/>
        <w:spacing w:before="0" w:after="0" w:line="600"/>
        <w:ind w:left="0" w:right="0" w:firstLine="640"/>
        <w:jc w:val="both"/>
        <w:rPr/>
      </w:pPr>
      <w:r>
        <w:rPr>
          <w:rFonts w:ascii="微软雅黑" w:hAnsi="微软雅黑" w:cs="微软雅黑"/>
          <w:i w:val="false"/>
          <w:strike w:val="false"/>
          <w:color w:val="323232"/>
          <w:spacing w:val="0"/>
          <w:sz w:val="28"/>
          <w:u w:val="none"/>
        </w:rPr>
        <w:t>公示期为三天（2024年9月7日－9月9日），如对上述名单有异议，请于公示期内向院教务办提交书面异议报告，并提供真实姓名和联系方式。</w:t>
      </w:r>
    </w:p>
    <w:p>
      <w:pPr>
        <w:snapToGrid/>
        <w:spacing w:before="0" w:after="0" w:line="600"/>
        <w:ind w:left="0" w:right="0" w:firstLine="640"/>
        <w:jc w:val="both"/>
        <w:rPr/>
      </w:pPr>
      <w:r>
        <w:rPr>
          <w:rFonts w:ascii="微软雅黑" w:hAnsi="微软雅黑" w:cs="微软雅黑"/>
          <w:i w:val="false"/>
          <w:strike w:val="false"/>
          <w:color w:val="323232"/>
          <w:spacing w:val="0"/>
          <w:sz w:val="28"/>
          <w:u w:val="none"/>
        </w:rPr>
        <w:t>联系人：李祉娣；联系电话：0731-58291641。</w:t>
      </w:r>
    </w:p>
    <w:p>
      <w:pPr>
        <w:snapToGrid/>
        <w:spacing w:before="0" w:after="0" w:line="600"/>
        <w:ind w:left="0" w:right="0" w:firstLine="640"/>
        <w:jc w:val="right"/>
        <w:rPr/>
      </w:pPr>
      <w:r>
        <w:rPr>
          <w:rFonts w:ascii="微软雅黑" w:hAnsi="微软雅黑" w:cs="微软雅黑"/>
          <w:i w:val="false"/>
          <w:strike w:val="false"/>
          <w:color w:val="323232"/>
          <w:spacing w:val="0"/>
          <w:sz w:val="28"/>
          <w:u w:val="none"/>
        </w:rPr>
        <w:t>物理与电子科学学院</w:t>
      </w:r>
    </w:p>
    <w:p>
      <w:pPr>
        <w:snapToGrid/>
        <w:spacing w:before="0" w:after="0" w:line="600"/>
        <w:ind w:left="0" w:right="0" w:firstLine="5886"/>
        <w:jc w:val="right"/>
        <w:rPr/>
      </w:pPr>
      <w:r>
        <w:rPr>
          <w:rFonts w:ascii="微软雅黑" w:hAnsi="微软雅黑" w:cs="微软雅黑"/>
          <w:i w:val="false"/>
          <w:strike w:val="false"/>
          <w:color w:val="323232"/>
          <w:spacing w:val="0"/>
          <w:sz w:val="28"/>
          <w:u w:val="none"/>
        </w:rPr>
        <w:t>2024年9月7日</w:t>
      </w:r>
    </w:p>
    <w:p>
      <w:pPr>
        <w:pStyle w:val="000004"/>
        <w:snapToGrid/>
        <w:spacing w:line="336"/>
        <w:ind w:hanging="0"/>
        <w:jc w:val="center"/>
        <w:rPr/>
      </w:pPr>
      <w:r>
        <w:rPr>
          <w:rFonts w:ascii="微软雅黑" w:hAnsi="微软雅黑" w:cs="微软雅黑"/>
          <w:i w:val="false"/>
          <w:strike w:val="false"/>
          <w:color w:val="333333"/>
          <w:spacing w:val="0"/>
          <w:sz w:val="36"/>
          <w:u w:val="none"/>
        </w:rPr>
        <w:t>湖南科技大学生命科学与健康学院关于举办2024年大学生学术夏令营活动的通知</w:t>
      </w:r>
    </w:p>
    <w:p>
      <w:pPr>
        <w:pStyle w:val="000005"/>
        <w:snapToGrid/>
        <w:spacing w:line="336"/>
        <w:ind w:hanging="0"/>
        <w:jc w:val="center"/>
        <w:rPr/>
      </w:pPr>
    </w:p>
    <w:p>
      <w:pPr>
        <w:snapToGrid/>
        <w:spacing w:line="240"/>
        <w:ind w:hanging="0"/>
        <w:jc w:val="center"/>
        <w:rPr/>
      </w:pPr>
    </w:p>
    <w:p>
      <w:pPr>
        <w:snapToGrid/>
        <w:spacing w:line="360"/>
        <w:ind w:hanging="0"/>
        <w:jc w:val="center"/>
        <w:rPr/>
      </w:pPr>
      <w:r>
        <w:rPr>
          <w:rFonts w:ascii="微软雅黑" w:hAnsi="微软雅黑" w:cs="微软雅黑"/>
          <w:i w:val="false"/>
          <w:strike w:val="false"/>
          <w:color w:val="787878"/>
          <w:spacing w:val="0"/>
          <w:sz w:val="23"/>
          <w:u w:val="none"/>
          <w:shd w:val="clear" w:color="auto" w:fill="F5F5F5"/>
        </w:rPr>
        <w:t xml:space="preserve">日期：2024-06-18 </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为进一步促进各高校优秀大学生之间的学术交流，增进学生对我院学科和专业的了解，不断优化硕士研究生生源结构、提高生源质量，我院特决定举办“2024年大学生学术夏令营”。现将有关事项通知如下：</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一、工作安排</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营员规模：</w:t>
      </w:r>
      <w:r>
        <w:rPr>
          <w:rFonts w:ascii="微软雅黑 !important" w:hAnsi="微软雅黑 !important" w:cs="微软雅黑 !important"/>
          <w:i w:val="false"/>
          <w:strike w:val="false"/>
          <w:color w:val="auto"/>
          <w:spacing w:val="0"/>
          <w:sz w:val="28"/>
          <w:u w:val="single"/>
        </w:rPr>
        <w:t>40</w:t>
      </w:r>
      <w:r>
        <w:rPr>
          <w:rFonts w:ascii="微软雅黑 !important" w:hAnsi="微软雅黑 !important" w:cs="微软雅黑 !important"/>
          <w:i w:val="false"/>
          <w:strike w:val="false"/>
          <w:color w:val="auto"/>
          <w:spacing w:val="0"/>
          <w:sz w:val="28"/>
          <w:u w:val="none"/>
        </w:rPr>
        <w:t>人左右</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营员报名：</w:t>
      </w:r>
      <w:r>
        <w:rPr>
          <w:rFonts w:ascii="微软雅黑 !important" w:hAnsi="微软雅黑 !important" w:cs="微软雅黑 !important"/>
          <w:i w:val="false"/>
          <w:strike w:val="false"/>
          <w:color w:val="auto"/>
          <w:spacing w:val="0"/>
          <w:sz w:val="28"/>
          <w:u w:val="none"/>
        </w:rPr>
        <w:t>2024年6月18-27日（6月27日24:00截止，学院根据报名情况可提前结束报名）</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营员选拔：</w:t>
      </w:r>
      <w:r>
        <w:rPr>
          <w:rFonts w:ascii="微软雅黑 !important" w:hAnsi="微软雅黑 !important" w:cs="微软雅黑 !important"/>
          <w:i w:val="false"/>
          <w:strike w:val="false"/>
          <w:color w:val="auto"/>
          <w:spacing w:val="0"/>
          <w:sz w:val="28"/>
          <w:u w:val="none"/>
        </w:rPr>
        <w:t>将根据申请人的学习成绩、综合素养等条件综合择优遴选，夏令营营员名单将于6月28日在我院官网上公布（</w:t>
      </w:r>
      <w:r>
        <w:rPr>
          <w:rFonts w:ascii="微软雅黑 !important" w:hAnsi="微软雅黑 !important" w:cs="微软雅黑 !important"/>
          <w:b/>
          <w:i w:val="false"/>
          <w:strike w:val="false"/>
          <w:color w:val="auto"/>
          <w:spacing w:val="0"/>
          <w:sz w:val="28"/>
          <w:u w:val="none"/>
        </w:rPr>
        <w:t>注：如提前结束报名则提前公布</w:t>
      </w:r>
      <w:r>
        <w:rPr>
          <w:rFonts w:ascii="微软雅黑 !important" w:hAnsi="微软雅黑 !important" w:cs="微软雅黑 !important"/>
          <w:i w:val="false"/>
          <w:strike w:val="false"/>
          <w:color w:val="auto"/>
          <w:spacing w:val="0"/>
          <w:sz w:val="28"/>
          <w:u w:val="none"/>
        </w:rPr>
        <w:t>）。</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夏令营开营：</w:t>
      </w:r>
      <w:r>
        <w:rPr>
          <w:rFonts w:ascii="微软雅黑 !important" w:hAnsi="微软雅黑 !important" w:cs="微软雅黑 !important"/>
          <w:i w:val="false"/>
          <w:strike w:val="false"/>
          <w:color w:val="auto"/>
          <w:spacing w:val="0"/>
          <w:sz w:val="28"/>
          <w:u w:val="none"/>
        </w:rPr>
        <w:t>2024年7月8-10日</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二、申请条件</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1.政治素养：</w:t>
      </w:r>
      <w:r>
        <w:rPr>
          <w:rFonts w:ascii="微软雅黑 !important" w:hAnsi="微软雅黑 !important" w:cs="微软雅黑 !important"/>
          <w:i w:val="false"/>
          <w:strike w:val="false"/>
          <w:color w:val="auto"/>
          <w:spacing w:val="0"/>
          <w:sz w:val="28"/>
          <w:u w:val="none"/>
        </w:rPr>
        <w:t>具有良好的政治素质和思想道德素养，政治立场坚定，德智体美劳全面发展，遵纪守法，身心健康。</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2.外语水平：</w:t>
      </w:r>
      <w:r>
        <w:rPr>
          <w:rFonts w:ascii="微软雅黑 !important" w:hAnsi="微软雅黑 !important" w:cs="微软雅黑 !important"/>
          <w:i w:val="false"/>
          <w:strike w:val="false"/>
          <w:color w:val="auto"/>
          <w:spacing w:val="0"/>
          <w:sz w:val="28"/>
          <w:u w:val="none"/>
        </w:rPr>
        <w:t>具有较好的外语听、说、读、写能力。</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3.综合素养：</w:t>
      </w:r>
      <w:r>
        <w:rPr>
          <w:rFonts w:ascii="微软雅黑 !important" w:hAnsi="微软雅黑 !important" w:cs="微软雅黑 !important"/>
          <w:i w:val="false"/>
          <w:strike w:val="false"/>
          <w:color w:val="auto"/>
          <w:spacing w:val="0"/>
          <w:sz w:val="28"/>
          <w:u w:val="none"/>
        </w:rPr>
        <w:t>有较好的专业理论基础和良好的科研潜力。</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三、报名及选拔流程</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1.填写申请表</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在本通知附件中下载“湖南科技大学生命科学与健康学院2024年大学生学术夏令营申请表”，如实填写相关信息（注：申请表可以打印，但须手写签名确认）。</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2.报名材料</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①湖南科技大学生命科学与健康学院2024年大学生学术夏令营申请表（须手写签名）；</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②本科成绩单与总评成绩排名证明（由教务处盖章或学院盖章）各1份；</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③个人简历1份；</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④身份证（正反面）、学生证复印件；</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⑤外语水平证明材料复印件（包括大学英语四、六级考试成绩单、TOEFL成绩单、GRE/GMAT成绩单、PETS5成绩单或其他语种的等级证书等）；</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⑥其他证明材料（如获奖证书、学术论文等）。</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3.发送邮件报名</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请于2024年6月27日24:00前将上述材料扫描电子档（PDF格式）发送至学院邮箱：</w:t>
      </w:r>
      <w:r>
        <w:rPr/>
        <w:fldChar w:fldCharType="begin"/>
      </w:r>
      <w:r>
        <w:rPr/>
        <w:instrText>HYPERLINK mailto:419030018@qq.com normalLink \tdft \tdfe -10 \tdfid \tddp \tdop \tdlt inline \tdds \tdfvi \tdlf \l \tdsub normalLink \tdkey tjuqsr \tdkey tjuqsr</w:instrText>
      </w:r>
      <w:r>
        <w:rPr/>
        <w:fldChar w:fldCharType="separate"/>
      </w:r>
      <w:r>
        <w:rPr>
          <w:rStyle w:val="000016"/>
          <w:color/>
        </w:rPr>
        <w:t>419030018@qq.com</w:t>
      </w:r>
      <w:r>
        <w:rPr/>
        <w:fldChar w:fldCharType="end"/>
      </w:r>
      <w:r>
        <w:rPr>
          <w:rFonts w:ascii="微软雅黑 !important" w:hAnsi="微软雅黑 !important" w:cs="微软雅黑 !important"/>
          <w:i w:val="false"/>
          <w:strike w:val="false"/>
          <w:color w:val="auto"/>
          <w:spacing w:val="0"/>
          <w:sz w:val="28"/>
          <w:u w:val="none"/>
        </w:rPr>
        <w:t>，（邮件主题标明“XX大学-XX院系-姓名-夏令营申请”），逾期不再接收申请（</w:t>
      </w:r>
      <w:r>
        <w:rPr>
          <w:rFonts w:ascii="微软雅黑 !important" w:hAnsi="微软雅黑 !important" w:cs="微软雅黑 !important"/>
          <w:b/>
          <w:i w:val="false"/>
          <w:strike w:val="false"/>
          <w:color w:val="auto"/>
          <w:spacing w:val="0"/>
          <w:sz w:val="28"/>
          <w:u w:val="none"/>
        </w:rPr>
        <w:t>注：根据报名情况可提前结束报名</w:t>
      </w:r>
      <w:r>
        <w:rPr>
          <w:rFonts w:ascii="微软雅黑 !important" w:hAnsi="微软雅黑 !important" w:cs="微软雅黑 !important"/>
          <w:i w:val="false"/>
          <w:strike w:val="false"/>
          <w:color w:val="auto"/>
          <w:spacing w:val="0"/>
          <w:sz w:val="28"/>
          <w:u w:val="none"/>
        </w:rPr>
        <w:t>）。</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4.材料审核及营员选拔</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学院将逐一审核申请人提供的各项材料，择优确定夏令营营员名单并报研究生院审核，最终审核通过的夏令营营员名单将于6月28日在学院官网公布（</w:t>
      </w:r>
      <w:r>
        <w:rPr>
          <w:rFonts w:ascii="微软雅黑 !important" w:hAnsi="微软雅黑 !important" w:cs="微软雅黑 !important"/>
          <w:b/>
          <w:i w:val="false"/>
          <w:strike w:val="false"/>
          <w:color w:val="auto"/>
          <w:spacing w:val="0"/>
          <w:sz w:val="28"/>
          <w:u w:val="none"/>
        </w:rPr>
        <w:t>注：如提前结束报名则提前公布</w:t>
      </w:r>
      <w:r>
        <w:rPr>
          <w:rFonts w:ascii="微软雅黑 !important" w:hAnsi="微软雅黑 !important" w:cs="微软雅黑 !important"/>
          <w:i w:val="false"/>
          <w:strike w:val="false"/>
          <w:color w:val="auto"/>
          <w:spacing w:val="0"/>
          <w:sz w:val="28"/>
          <w:u w:val="none"/>
        </w:rPr>
        <w:t>）。</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四、活动安排</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本次夏令营采取线下形式进行，具体安排包括：</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1.开营典礼：</w:t>
      </w:r>
      <w:r>
        <w:rPr>
          <w:rFonts w:ascii="微软雅黑 !important" w:hAnsi="微软雅黑 !important" w:cs="微软雅黑 !important"/>
          <w:i w:val="false"/>
          <w:strike w:val="false"/>
          <w:color w:val="auto"/>
          <w:spacing w:val="0"/>
          <w:sz w:val="28"/>
          <w:u w:val="none"/>
        </w:rPr>
        <w:t>由学校统一组织，主要包括学校学科学院介绍、学位与研究生教育招生专业及方向介绍等。</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2.讲座与交流：</w:t>
      </w:r>
      <w:r>
        <w:rPr>
          <w:rFonts w:ascii="微软雅黑 !important" w:hAnsi="微软雅黑 !important" w:cs="微软雅黑 !important"/>
          <w:i w:val="false"/>
          <w:strike w:val="false"/>
          <w:color w:val="auto"/>
          <w:spacing w:val="0"/>
          <w:sz w:val="28"/>
          <w:u w:val="none"/>
        </w:rPr>
        <w:t>专家讲座、师生互动、导师交流等。</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3.素质拓展：</w:t>
      </w:r>
      <w:r>
        <w:rPr>
          <w:rFonts w:ascii="微软雅黑 !important" w:hAnsi="微软雅黑 !important" w:cs="微软雅黑 !important"/>
          <w:i w:val="false"/>
          <w:strike w:val="false"/>
          <w:color w:val="auto"/>
          <w:spacing w:val="0"/>
          <w:sz w:val="28"/>
          <w:u w:val="none"/>
        </w:rPr>
        <w:t>户外团建、团队协作、沟通能力、学习能力提升等。</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4.结业与评优：</w:t>
      </w:r>
      <w:r>
        <w:rPr>
          <w:rFonts w:ascii="微软雅黑 !important" w:hAnsi="微软雅黑 !important" w:cs="微软雅黑 !important"/>
          <w:i w:val="false"/>
          <w:strike w:val="false"/>
          <w:color w:val="auto"/>
          <w:spacing w:val="0"/>
          <w:sz w:val="28"/>
          <w:u w:val="none"/>
        </w:rPr>
        <w:t>圆满完成夏令营活动者颁发结业证书；表现突出者评选优秀营员。</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五、政策支持</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1.学习保障：</w:t>
      </w:r>
      <w:r>
        <w:rPr>
          <w:rFonts w:ascii="微软雅黑 !important" w:hAnsi="微软雅黑 !important" w:cs="微软雅黑 !important"/>
          <w:i w:val="false"/>
          <w:strike w:val="false"/>
          <w:color w:val="auto"/>
          <w:spacing w:val="0"/>
          <w:sz w:val="28"/>
          <w:u w:val="none"/>
        </w:rPr>
        <w:t>学院安排资深专业教师担任班主任，安排导师对接营员，安排成长辅导员。</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2.食宿安排：</w:t>
      </w:r>
      <w:r>
        <w:rPr>
          <w:rFonts w:ascii="微软雅黑 !important" w:hAnsi="微软雅黑 !important" w:cs="微软雅黑 !important"/>
          <w:i w:val="false"/>
          <w:strike w:val="false"/>
          <w:color w:val="auto"/>
          <w:spacing w:val="0"/>
          <w:sz w:val="28"/>
          <w:u w:val="none"/>
        </w:rPr>
        <w:t>学校为所有营员提供免费用餐（餐标：50元/天）；为所有校外营员提供免费住宿（双标或单间）；为所有营员免费提供统一着装（文化衫）。</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3.交通补助：</w:t>
      </w:r>
      <w:r>
        <w:rPr>
          <w:rFonts w:ascii="微软雅黑 !important" w:hAnsi="微软雅黑 !important" w:cs="微软雅黑 !important"/>
          <w:i w:val="false"/>
          <w:strike w:val="false"/>
          <w:color w:val="auto"/>
          <w:spacing w:val="0"/>
          <w:sz w:val="28"/>
          <w:u w:val="none"/>
        </w:rPr>
        <w:t>为鼓励校外高校大学生报名，对省外高校营员提供150元交通补助，对省内校外营员提供75元交通补助。</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4.安全保障：</w:t>
      </w:r>
      <w:r>
        <w:rPr>
          <w:rFonts w:ascii="微软雅黑 !important" w:hAnsi="微软雅黑 !important" w:cs="微软雅黑 !important"/>
          <w:i w:val="false"/>
          <w:strike w:val="false"/>
          <w:color w:val="auto"/>
          <w:spacing w:val="0"/>
          <w:sz w:val="28"/>
          <w:u w:val="none"/>
        </w:rPr>
        <w:t>为全体营员购买意外伤害保险。</w:t>
      </w:r>
    </w:p>
    <w:p>
      <w:pPr>
        <w:snapToGrid/>
        <w:spacing w:before="0" w:after="0" w:line="500"/>
        <w:ind w:left="0" w:right="0" w:firstLine="560"/>
        <w:jc w:val="both"/>
        <w:rPr/>
      </w:pPr>
      <w:r>
        <w:rPr>
          <w:rFonts w:ascii="微软雅黑 !important" w:hAnsi="微软雅黑 !important" w:cs="微软雅黑 !important"/>
          <w:b/>
          <w:i w:val="false"/>
          <w:strike w:val="false"/>
          <w:color w:val="auto"/>
          <w:spacing w:val="0"/>
          <w:sz w:val="28"/>
          <w:u w:val="none"/>
        </w:rPr>
        <w:t>5.录取优惠：</w:t>
      </w:r>
      <w:r>
        <w:rPr>
          <w:rFonts w:ascii="微软雅黑 !important" w:hAnsi="微软雅黑 !important" w:cs="微软雅黑 !important"/>
          <w:i w:val="false"/>
          <w:strike w:val="false"/>
          <w:color w:val="auto"/>
          <w:spacing w:val="0"/>
          <w:sz w:val="28"/>
          <w:u w:val="none"/>
        </w:rPr>
        <w:t>对于取得推免资格的优秀营员在同等条件下可优先获得我校2025年推免生拟录取资格；对于未取得推免资格的优秀营员，报名参加2025年全国硕士研究生招生考试、第一志愿报考我校且初试成绩达到报考专业复试分数线的，同等条件下优先录取。</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六、联系方式</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交流QQ群：</w:t>
      </w:r>
      <w:r>
        <w:rPr>
          <w:rFonts w:ascii="微软雅黑 !important" w:hAnsi="微软雅黑 !important" w:cs="微软雅黑 !important"/>
          <w:i w:val="false"/>
          <w:strike w:val="false"/>
          <w:color w:val="auto"/>
          <w:spacing w:val="0"/>
          <w:sz w:val="28"/>
          <w:u w:val="single"/>
        </w:rPr>
        <w:t xml:space="preserve"> </w:t>
      </w:r>
      <w:r>
        <w:rPr>
          <w:rFonts w:ascii="微软雅黑 !important" w:hAnsi="微软雅黑 !important" w:cs="微软雅黑 !important"/>
          <w:b/>
          <w:i w:val="false"/>
          <w:strike w:val="false"/>
          <w:color w:val="auto"/>
          <w:spacing w:val="0"/>
          <w:sz w:val="28"/>
          <w:u w:val="single"/>
        </w:rPr>
        <w:t>967359196</w:t>
      </w:r>
      <w:r>
        <w:rPr>
          <w:rFonts w:ascii="微软雅黑 !important" w:hAnsi="微软雅黑 !important" w:cs="微软雅黑 !important"/>
          <w:i w:val="false"/>
          <w:strike w:val="false"/>
          <w:color w:val="auto"/>
          <w:spacing w:val="0"/>
          <w:sz w:val="28"/>
          <w:u w:val="single"/>
        </w:rPr>
        <w:t xml:space="preserve"> ；</w:t>
      </w:r>
      <w:r>
        <w:rPr>
          <w:rFonts w:ascii="微软雅黑 !important" w:hAnsi="微软雅黑 !important" w:cs="微软雅黑 !important"/>
          <w:i w:val="false"/>
          <w:strike w:val="false"/>
          <w:color w:val="auto"/>
          <w:spacing w:val="0"/>
          <w:sz w:val="28"/>
          <w:u w:val="none"/>
        </w:rPr>
        <w:t>请实名（格式：“XX大学-XX院系-姓名”）加入“生科院2024年学术夏令营”QQ群。</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通讯地址：湖南省湘潭市雨湖区湖南科技大学生物楼112室</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邮 编：411201</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电 话：152 7321 5630</w:t>
      </w:r>
    </w:p>
    <w:p>
      <w:pPr>
        <w:snapToGrid/>
        <w:spacing w:before="0" w:after="0" w:line="500"/>
        <w:ind w:left="0" w:right="0" w:firstLine="560"/>
        <w:jc w:val="both"/>
        <w:rPr/>
      </w:pPr>
      <w:r>
        <w:rPr>
          <w:rFonts w:ascii="微软雅黑 !important" w:hAnsi="微软雅黑 !important" w:cs="微软雅黑 !important"/>
          <w:i w:val="false"/>
          <w:strike w:val="false"/>
          <w:color w:val="auto"/>
          <w:spacing w:val="0"/>
          <w:sz w:val="28"/>
          <w:u w:val="none"/>
        </w:rPr>
        <w:t>联系人： 白老师</w:t>
      </w:r>
    </w:p>
    <w:p>
      <w:pPr>
        <w:snapToGrid/>
        <w:spacing w:before="312" w:after="120" w:line="240"/>
        <w:ind w:left="0" w:right="0" w:firstLine="480"/>
        <w:jc w:val="both"/>
        <w:rPr/>
      </w:pPr>
      <w:r>
        <w:rPr>
          <w:rFonts w:ascii="微软雅黑" w:hAnsi="微软雅黑" w:eastAsia="微软雅黑" w:cs="微软雅黑"/>
          <w:i w:val="false"/>
          <w:strike w:val="false"/>
          <w:color w:val="auto"/>
          <w:spacing w:val="0"/>
          <w:sz w:val="24"/>
          <w:u w:val="none"/>
        </w:rPr>
        <w:t>附件：湖南科技大学生命科学与健康学院2024年大学生学术夏令营申请表</w:t>
      </w:r>
    </w:p>
    <w:p>
      <w:pPr>
        <w:snapToGrid/>
        <w:spacing w:before="312" w:after="120" w:line="240"/>
        <w:ind w:left="0" w:right="0" w:firstLine="480"/>
        <w:jc w:val="both"/>
        <w:rPr/>
      </w:pPr>
      <w:r>
        <w:rPr/>
        <w:fldChar w:fldCharType="begin"/>
      </w:r>
      <w:r>
        <w:rPr/>
        <w:instrText>HYPERLINK http://life-science.hnust.edu.cn/docs/2024-06/dfb53faeb15e48e6bba74307249f75b8.doc normalLink \tdft \tdfe -10 \tdfid \tddp \tdop \tdlt inline \tdds \tdfvi \tdlf \l \tdsub normalLink \tdkey hd9jp8 \tdkey hd9jp8</w:instrText>
      </w:r>
      <w:r>
        <w:rPr/>
        <w:fldChar w:fldCharType="separate"/>
      </w:r>
      <w:r>
        <w:rPr>
          <w:rStyle w:val="000016"/>
          <w:color/>
        </w:rPr>
        <w:t>湖南科技大学生命科学与健康学院2024年大学生学术夏令营申请表</w:t>
      </w:r>
      <w:r>
        <w:rPr/>
        <w:fldChar w:fldCharType="end"/>
      </w:r>
    </w:p>
    <w:p>
      <w:pPr>
        <w:snapToGrid/>
        <w:spacing w:before="312" w:after="0" w:line="500"/>
        <w:ind w:left="0" w:right="0" w:firstLine="560"/>
        <w:jc w:val="right"/>
        <w:rPr/>
      </w:pPr>
      <w:r>
        <w:rPr>
          <w:rFonts w:ascii="微软雅黑 !important" w:hAnsi="微软雅黑 !important" w:cs="微软雅黑 !important"/>
          <w:i w:val="false"/>
          <w:strike w:val="false"/>
          <w:color w:val="auto"/>
          <w:spacing w:val="0"/>
          <w:sz w:val="28"/>
          <w:u w:val="none"/>
        </w:rPr>
        <w:t>湖南科技大学生命科学与健康学院</w:t>
      </w:r>
    </w:p>
    <w:p>
      <w:pPr>
        <w:snapToGrid/>
        <w:spacing w:before="0" w:after="0" w:line="240"/>
        <w:ind w:left="0" w:right="840"/>
        <w:jc w:val="right"/>
        <w:rPr/>
      </w:pPr>
      <w:r>
        <w:rPr>
          <w:rFonts w:ascii="微软雅黑" w:hAnsi="微软雅黑" w:eastAsia="微软雅黑" w:cs="微软雅黑"/>
          <w:i w:val="false"/>
          <w:strike w:val="false"/>
          <w:color w:val="auto"/>
          <w:spacing w:val="0"/>
          <w:sz w:val="28"/>
          <w:u w:val="none"/>
        </w:rPr>
        <w:t>2024年6月18日</w:t>
      </w:r>
    </w:p>
    <w:p>
      <w:pPr>
        <w:pBdr/>
        <w:ind/>
        <w:rPr/>
      </w:pPr>
    </w:p>
    <w:p>
      <w:pPr>
        <w:pStyle w:val="000003"/>
        <w:snapToGrid/>
        <w:spacing w:before="450" w:after="450" w:line="373"/>
        <w:ind w:left="0" w:right="0" w:hanging="0"/>
        <w:jc w:val="center"/>
        <w:rPr/>
      </w:pPr>
      <w:r>
        <w:rPr>
          <w:rFonts w:ascii="微软雅黑" w:hAnsi="微软雅黑" w:cs="微软雅黑"/>
          <w:i w:val="false"/>
          <w:strike w:val="false"/>
          <w:color w:val="000000"/>
          <w:spacing w:val="0"/>
          <w:sz w:val="27"/>
          <w:u w:val="none"/>
        </w:rPr>
        <w:t>建筑与艺术设计学院推荐优秀应届本科毕业生免试攻读硕士学位研究生工作实施细则（修订）</w:t>
      </w:r>
    </w:p>
    <w:p>
      <w:pPr>
        <w:snapToGrid/>
        <w:spacing w:line="240"/>
        <w:ind w:hanging="0"/>
        <w:jc w:val="center"/>
        <w:rPr/>
      </w:pPr>
      <w:r>
        <w:rPr>
          <w:rFonts w:ascii="微软雅黑" w:hAnsi="微软雅黑" w:cs="微软雅黑"/>
          <w:i w:val="false"/>
          <w:strike w:val="false"/>
          <w:color w:val="696969"/>
          <w:spacing w:val="0"/>
          <w:sz w:val="21"/>
          <w:u w:val="none"/>
        </w:rPr>
        <w:t>供稿部门：    发布日期：2023年03月10日    浏览次数：408次</w:t>
      </w:r>
    </w:p>
    <w:p>
      <w:pPr>
        <w:snapToGrid/>
        <w:spacing w:before="300" w:after="600" w:line="432"/>
        <w:ind w:firstLine="640"/>
        <w:jc w:val="center"/>
        <w:rPr/>
      </w:pPr>
      <w:r>
        <w:rPr>
          <w:rFonts w:ascii="微软雅黑" w:hAnsi="微软雅黑" w:cs="微软雅黑"/>
          <w:b/>
          <w:i w:val="false"/>
          <w:strike w:val="false"/>
          <w:color w:val="323232"/>
          <w:spacing w:val="0"/>
          <w:sz w:val="28"/>
          <w:u w:val="none"/>
        </w:rPr>
        <w:t>第一章       总 则</w:t>
      </w:r>
    </w:p>
    <w:p>
      <w:pPr>
        <w:snapToGrid/>
        <w:spacing w:before="300" w:after="600" w:line="432"/>
        <w:ind w:firstLine="640"/>
        <w:rPr/>
      </w:pPr>
      <w:r>
        <w:rPr>
          <w:rFonts w:ascii="微软雅黑" w:hAnsi="微软雅黑" w:cs="微软雅黑"/>
          <w:i w:val="false"/>
          <w:strike w:val="false"/>
          <w:color w:val="323232"/>
          <w:spacing w:val="0"/>
          <w:sz w:val="28"/>
          <w:u w:val="none"/>
        </w:rPr>
        <w:t>根据《湖南科技大学推荐优秀应届本科毕业生免试攻读硕士学位研究生工作实施办法》（科大政发［2017］92号）文件精神，为进一步规范和落实我院推荐优秀应届本科毕业生免试攻读硕士学位研究生（以下简称“推免生”）工作，结合我院实际，特制定本细则。</w:t>
      </w:r>
    </w:p>
    <w:p>
      <w:pPr>
        <w:snapToGrid/>
        <w:spacing w:before="300" w:after="600" w:line="432"/>
        <w:ind w:firstLine="640"/>
        <w:rPr/>
      </w:pPr>
      <w:r>
        <w:rPr>
          <w:rFonts w:ascii="微软雅黑" w:hAnsi="微软雅黑" w:cs="微软雅黑"/>
          <w:i w:val="false"/>
          <w:strike w:val="false"/>
          <w:color w:val="323232"/>
          <w:spacing w:val="0"/>
          <w:sz w:val="28"/>
          <w:u w:val="none"/>
        </w:rPr>
        <w:t>第一条 推免生工作是激励高校在校学生勤奋学习、积极创新、全面发展的有效措施，是加大拔尖创新人才选拔培养力度，引导高等学校全面实施素质教育的重要举措。</w:t>
      </w:r>
    </w:p>
    <w:p>
      <w:pPr>
        <w:snapToGrid/>
        <w:spacing w:before="300" w:after="600" w:line="432"/>
        <w:ind w:firstLine="640"/>
        <w:rPr/>
      </w:pPr>
      <w:r>
        <w:rPr>
          <w:rFonts w:ascii="微软雅黑" w:hAnsi="微软雅黑" w:cs="微软雅黑"/>
          <w:i w:val="false"/>
          <w:strike w:val="false"/>
          <w:color w:val="323232"/>
          <w:spacing w:val="0"/>
          <w:sz w:val="28"/>
          <w:u w:val="none"/>
        </w:rPr>
        <w:t>第二条 本细则所称免试，是指本院应届本科毕业生不必经过全国硕士研究生入学统一考试的初试，直接进入复试；本细则所称推荐是指学院按规定对本院优秀应届本科毕业生进行遴选，确认其免初试资格并向招生单位推荐。</w:t>
      </w:r>
    </w:p>
    <w:p>
      <w:pPr>
        <w:snapToGrid/>
        <w:spacing w:before="300" w:after="600" w:line="432"/>
        <w:ind w:firstLine="640"/>
        <w:rPr/>
      </w:pPr>
      <w:r>
        <w:rPr>
          <w:rFonts w:ascii="微软雅黑" w:hAnsi="微软雅黑" w:cs="微软雅黑"/>
          <w:i w:val="false"/>
          <w:strike w:val="false"/>
          <w:color w:val="323232"/>
          <w:spacing w:val="0"/>
          <w:sz w:val="28"/>
          <w:u w:val="none"/>
        </w:rPr>
        <w:t>第三条 推免生工作要坚持公开、公平、公正原则，对学生进行全面考查、择优选拔，做到程序透明，操作规范，结果公开。</w:t>
      </w:r>
    </w:p>
    <w:p>
      <w:pPr>
        <w:snapToGrid/>
        <w:spacing w:before="300" w:after="600" w:line="432"/>
        <w:ind w:firstLine="640"/>
        <w:jc w:val="center"/>
        <w:rPr/>
      </w:pPr>
      <w:r>
        <w:rPr>
          <w:rFonts w:ascii="微软雅黑" w:hAnsi="微软雅黑" w:cs="微软雅黑"/>
          <w:b/>
          <w:i w:val="false"/>
          <w:strike w:val="false"/>
          <w:color w:val="323232"/>
          <w:spacing w:val="0"/>
          <w:sz w:val="28"/>
          <w:u w:val="none"/>
        </w:rPr>
        <w:t>第二章       组织机构</w:t>
      </w:r>
    </w:p>
    <w:p>
      <w:pPr>
        <w:snapToGrid/>
        <w:spacing w:before="300" w:after="600" w:line="432"/>
        <w:ind w:firstLine="640"/>
        <w:rPr/>
      </w:pPr>
      <w:r>
        <w:rPr>
          <w:rFonts w:ascii="微软雅黑" w:hAnsi="微软雅黑" w:cs="微软雅黑"/>
          <w:i w:val="false"/>
          <w:strike w:val="false"/>
          <w:color w:val="323232"/>
          <w:spacing w:val="0"/>
          <w:sz w:val="28"/>
          <w:u w:val="none"/>
        </w:rPr>
        <w:t>第四条 成立“建筑与艺术设计学院推免生工作小组”（以下称工作小组）。其主要职责为确定建筑与艺术设计学院各专业推免生名额、监督学院推免生工作、审定推免生名单、受理申诉等。建筑与艺术设计学院推免生工作小组成员组成：</w:t>
      </w:r>
    </w:p>
    <w:p>
      <w:pPr>
        <w:snapToGrid/>
        <w:spacing w:before="300" w:after="600" w:line="432"/>
        <w:ind w:firstLine="640"/>
        <w:rPr/>
      </w:pPr>
      <w:r>
        <w:rPr>
          <w:rFonts w:ascii="微软雅黑" w:hAnsi="微软雅黑" w:cs="微软雅黑"/>
          <w:i w:val="false"/>
          <w:strike w:val="false"/>
          <w:color w:val="323232"/>
          <w:spacing w:val="0"/>
          <w:sz w:val="28"/>
          <w:u w:val="none"/>
        </w:rPr>
        <w:t>组 长：吴志军</w:t>
      </w:r>
    </w:p>
    <w:p>
      <w:pPr>
        <w:snapToGrid/>
        <w:spacing w:before="300" w:after="600" w:line="432"/>
        <w:ind w:firstLine="640"/>
        <w:rPr/>
      </w:pPr>
      <w:r>
        <w:rPr>
          <w:rFonts w:ascii="微软雅黑" w:hAnsi="微软雅黑" w:cs="微软雅黑"/>
          <w:i w:val="false"/>
          <w:strike w:val="false"/>
          <w:color w:val="323232"/>
          <w:spacing w:val="0"/>
          <w:sz w:val="28"/>
          <w:u w:val="none"/>
        </w:rPr>
        <w:t>副组长：胡 伟、马忠石</w:t>
      </w:r>
    </w:p>
    <w:p>
      <w:pPr>
        <w:snapToGrid/>
        <w:spacing w:before="300" w:after="600" w:line="432"/>
        <w:ind w:firstLine="640"/>
        <w:rPr/>
      </w:pPr>
      <w:r>
        <w:rPr>
          <w:rFonts w:ascii="微软雅黑" w:hAnsi="微软雅黑" w:cs="微软雅黑"/>
          <w:i w:val="false"/>
          <w:strike w:val="false"/>
          <w:color w:val="323232"/>
          <w:spacing w:val="0"/>
          <w:sz w:val="28"/>
          <w:u w:val="none"/>
        </w:rPr>
        <w:t>成 员：吴志军、胡 伟、马忠石、余翰武、杨元、周红、金熙、王桂芹、吴寒、姜太军、李川、周练、杨金娥、蒋祎</w:t>
      </w:r>
    </w:p>
    <w:p>
      <w:pPr>
        <w:snapToGrid/>
        <w:spacing w:before="300" w:after="600" w:line="432"/>
        <w:ind w:firstLine="640"/>
        <w:rPr/>
      </w:pPr>
      <w:r>
        <w:rPr>
          <w:rFonts w:ascii="微软雅黑" w:hAnsi="微软雅黑" w:cs="微软雅黑"/>
          <w:i w:val="false"/>
          <w:strike w:val="false"/>
          <w:color w:val="323232"/>
          <w:spacing w:val="0"/>
          <w:sz w:val="28"/>
          <w:u w:val="none"/>
        </w:rPr>
        <w:t>建筑与艺术设计学院推免生工作小组由院领导、系主任及教师代表组成。工作小组下设办公室，办公室设在教务办，胡伟任办公室主任，蒋祎任办公室秘书。</w:t>
      </w:r>
    </w:p>
    <w:p>
      <w:pPr>
        <w:snapToGrid/>
        <w:spacing w:before="300" w:after="600" w:line="432"/>
        <w:ind w:firstLine="640"/>
        <w:rPr/>
      </w:pPr>
      <w:r>
        <w:rPr>
          <w:rFonts w:ascii="微软雅黑" w:hAnsi="微软雅黑" w:cs="微软雅黑"/>
          <w:i w:val="false"/>
          <w:strike w:val="false"/>
          <w:color w:val="323232"/>
          <w:spacing w:val="0"/>
          <w:sz w:val="28"/>
          <w:u w:val="none"/>
        </w:rPr>
        <w:t>第五条 推荐工作小组依据《湖南科技大学推荐优秀应届本科毕业生免试攻读硕士学位研究生工作实施办法（试行）》（科大〔2017〕92号），遵循公开、公平、公正的基本原则，广泛征求师生意见，制定本学院的《推荐优秀应届本科毕业生免试攻读硕士学位研究生工作细则》（以下简称“推荐细则”），作为本单位开展推荐工作的实施依据。“推荐细则”科学、规范、明确，包括基本要求、推荐类型及名额分配办法、考核比例、最终成绩计算办法和排名规则等内容，经学院推荐工作小组审定并公示，报学校推免生遴选工作领导小组备案后实施。</w:t>
      </w:r>
    </w:p>
    <w:p>
      <w:pPr>
        <w:snapToGrid/>
        <w:spacing w:before="300" w:after="600" w:line="432"/>
        <w:ind w:firstLine="640"/>
        <w:jc w:val="center"/>
        <w:rPr/>
      </w:pPr>
      <w:r>
        <w:rPr>
          <w:rFonts w:ascii="微软雅黑" w:hAnsi="微软雅黑" w:cs="微软雅黑"/>
          <w:b/>
          <w:i w:val="false"/>
          <w:strike w:val="false"/>
          <w:color w:val="323232"/>
          <w:spacing w:val="0"/>
          <w:sz w:val="28"/>
          <w:u w:val="none"/>
        </w:rPr>
        <w:t>第三章     名额分配</w:t>
      </w:r>
    </w:p>
    <w:p>
      <w:pPr>
        <w:snapToGrid/>
        <w:spacing w:before="300" w:after="600" w:line="432"/>
        <w:ind w:firstLine="640"/>
        <w:rPr/>
      </w:pPr>
      <w:r>
        <w:rPr>
          <w:rFonts w:ascii="微软雅黑" w:hAnsi="微软雅黑" w:cs="微软雅黑"/>
          <w:i w:val="false"/>
          <w:strike w:val="false"/>
          <w:color w:val="323232"/>
          <w:spacing w:val="0"/>
          <w:sz w:val="28"/>
          <w:u w:val="none"/>
        </w:rPr>
        <w:t>第六条 学院推荐工作小组根据学校当年下达给学院的推免生名额，按各专业应届本科毕业学生人数确定学院各专业当年应得推免生指标。当年应得推免生指标加上该专业上年累积结余指标数（结余指标可正可负），即为该专业本年度可用推免指标数S。</w:t>
      </w:r>
    </w:p>
    <w:p>
      <w:pPr>
        <w:snapToGrid/>
        <w:spacing w:before="300" w:after="600" w:line="432"/>
        <w:ind w:firstLine="640"/>
        <w:rPr/>
      </w:pPr>
      <w:r>
        <w:rPr>
          <w:rFonts w:ascii="微软雅黑" w:hAnsi="微软雅黑" w:cs="微软雅黑"/>
          <w:i w:val="false"/>
          <w:strike w:val="false"/>
          <w:color w:val="323232"/>
          <w:spacing w:val="0"/>
          <w:sz w:val="28"/>
          <w:u w:val="none"/>
        </w:rPr>
        <w:t>S=C÷B×A+D-E</w:t>
      </w:r>
    </w:p>
    <w:p>
      <w:pPr>
        <w:snapToGrid/>
        <w:spacing w:before="300" w:after="600" w:line="432"/>
        <w:ind w:firstLine="640"/>
        <w:rPr/>
      </w:pPr>
      <w:r>
        <w:rPr>
          <w:rFonts w:ascii="微软雅黑" w:hAnsi="微软雅黑" w:cs="微软雅黑"/>
          <w:i w:val="false"/>
          <w:strike w:val="false"/>
          <w:color w:val="323232"/>
          <w:spacing w:val="0"/>
          <w:sz w:val="28"/>
          <w:u w:val="none"/>
        </w:rPr>
        <w:t>A:推免专业毕业生人数</w:t>
      </w:r>
    </w:p>
    <w:p>
      <w:pPr>
        <w:snapToGrid/>
        <w:spacing w:before="300" w:after="600" w:line="432"/>
        <w:ind w:firstLine="640"/>
        <w:rPr/>
      </w:pPr>
      <w:r>
        <w:rPr>
          <w:rFonts w:ascii="微软雅黑" w:hAnsi="微软雅黑" w:cs="微软雅黑"/>
          <w:i w:val="false"/>
          <w:strike w:val="false"/>
          <w:color w:val="323232"/>
          <w:spacing w:val="0"/>
          <w:sz w:val="28"/>
          <w:u w:val="none"/>
        </w:rPr>
        <w:t>B:学院毕业生学生总人数</w:t>
      </w:r>
    </w:p>
    <w:p>
      <w:pPr>
        <w:snapToGrid/>
        <w:spacing w:before="300" w:after="600" w:line="432"/>
        <w:ind w:firstLine="640"/>
        <w:rPr/>
      </w:pPr>
      <w:r>
        <w:rPr>
          <w:rFonts w:ascii="微软雅黑" w:hAnsi="微软雅黑" w:cs="微软雅黑"/>
          <w:i w:val="false"/>
          <w:strike w:val="false"/>
          <w:color w:val="323232"/>
          <w:spacing w:val="0"/>
          <w:sz w:val="28"/>
          <w:u w:val="none"/>
        </w:rPr>
        <w:t>C:推免指标名额</w:t>
      </w:r>
    </w:p>
    <w:p>
      <w:pPr>
        <w:snapToGrid/>
        <w:spacing w:before="300" w:after="600" w:line="432"/>
        <w:ind w:firstLine="640"/>
        <w:rPr/>
      </w:pPr>
      <w:r>
        <w:rPr>
          <w:rFonts w:ascii="微软雅黑" w:hAnsi="微软雅黑" w:cs="微软雅黑"/>
          <w:i w:val="false"/>
          <w:strike w:val="false"/>
          <w:color w:val="323232"/>
          <w:spacing w:val="0"/>
          <w:sz w:val="28"/>
          <w:u w:val="none"/>
        </w:rPr>
        <w:t>D:上年度节余指标数</w:t>
      </w:r>
    </w:p>
    <w:p>
      <w:pPr>
        <w:snapToGrid/>
        <w:spacing w:before="300" w:after="600" w:line="432"/>
        <w:ind w:firstLine="640"/>
        <w:rPr/>
      </w:pPr>
      <w:r>
        <w:rPr>
          <w:rFonts w:ascii="微软雅黑" w:hAnsi="微软雅黑" w:cs="微软雅黑"/>
          <w:i w:val="false"/>
          <w:strike w:val="false"/>
          <w:color w:val="323232"/>
          <w:spacing w:val="0"/>
          <w:sz w:val="28"/>
          <w:u w:val="none"/>
        </w:rPr>
        <w:t>E: 核减指标数，即上年度推免学生未按预申报志愿填写推荐免试攻读硕士学位研究生登记表，造成指标浪费的数量。</w:t>
      </w:r>
    </w:p>
    <w:p>
      <w:pPr>
        <w:snapToGrid/>
        <w:spacing w:before="300" w:after="600" w:line="432"/>
        <w:ind w:firstLine="640"/>
        <w:rPr/>
      </w:pPr>
      <w:r>
        <w:rPr>
          <w:rFonts w:ascii="微软雅黑" w:hAnsi="微软雅黑" w:cs="微软雅黑"/>
          <w:i w:val="false"/>
          <w:strike w:val="false"/>
          <w:color w:val="323232"/>
          <w:spacing w:val="0"/>
          <w:sz w:val="28"/>
          <w:u w:val="none"/>
        </w:rPr>
        <w:t>第七条 根据各专业的本年度可用推免指标数，确定各专业的实际推荐名额。具体确定方法如下：</w:t>
      </w:r>
    </w:p>
    <w:p>
      <w:pPr>
        <w:snapToGrid/>
        <w:spacing w:before="300" w:after="600" w:line="432"/>
        <w:ind w:firstLine="640"/>
        <w:rPr/>
      </w:pPr>
      <w:r>
        <w:rPr>
          <w:rFonts w:ascii="微软雅黑" w:hAnsi="微软雅黑" w:cs="微软雅黑"/>
          <w:i w:val="false"/>
          <w:strike w:val="false"/>
          <w:color w:val="323232"/>
          <w:spacing w:val="0"/>
          <w:sz w:val="28"/>
          <w:u w:val="none"/>
        </w:rPr>
        <w:t>(一)上年度未取得推荐名额的专业享有优先权。</w:t>
      </w:r>
    </w:p>
    <w:p>
      <w:pPr>
        <w:snapToGrid/>
        <w:spacing w:before="300" w:after="600" w:line="432"/>
        <w:ind w:firstLine="640"/>
        <w:rPr/>
      </w:pPr>
      <w:r>
        <w:rPr>
          <w:rFonts w:ascii="微软雅黑" w:hAnsi="微软雅黑" w:cs="微软雅黑"/>
          <w:i w:val="false"/>
          <w:strike w:val="false"/>
          <w:color w:val="323232"/>
          <w:spacing w:val="0"/>
          <w:sz w:val="28"/>
          <w:u w:val="none"/>
        </w:rPr>
        <w:t>(二)计算本年度可用推免指标数S，从高到低依次分配专业推荐名额；但当某专业S≥2时，在取得1个名额后，剩余名额优先给予没有获得名额、且S最大的专业。</w:t>
      </w:r>
    </w:p>
    <w:p>
      <w:pPr>
        <w:snapToGrid/>
        <w:spacing w:before="300" w:after="600" w:line="432"/>
        <w:ind w:firstLine="640"/>
        <w:rPr/>
      </w:pPr>
      <w:r>
        <w:rPr>
          <w:rFonts w:ascii="微软雅黑" w:hAnsi="微软雅黑" w:cs="微软雅黑"/>
          <w:i w:val="false"/>
          <w:strike w:val="false"/>
          <w:color w:val="323232"/>
          <w:spacing w:val="0"/>
          <w:sz w:val="28"/>
          <w:u w:val="none"/>
        </w:rPr>
        <w:t>(三)本年度推免结束后，所余指标数累计到下年度使用。</w:t>
      </w:r>
    </w:p>
    <w:p>
      <w:pPr>
        <w:snapToGrid/>
        <w:spacing w:before="300" w:after="600" w:line="432"/>
        <w:ind w:firstLine="640"/>
        <w:rPr/>
      </w:pPr>
      <w:r>
        <w:rPr>
          <w:rFonts w:ascii="微软雅黑" w:hAnsi="微软雅黑" w:cs="微软雅黑"/>
          <w:i w:val="false"/>
          <w:strike w:val="false"/>
          <w:color w:val="323232"/>
          <w:spacing w:val="0"/>
          <w:sz w:val="28"/>
          <w:u w:val="none"/>
        </w:rPr>
        <w:t>实际推荐名额依次执行（一）、（二）、（三）条款。</w:t>
      </w:r>
    </w:p>
    <w:p>
      <w:pPr>
        <w:snapToGrid/>
        <w:spacing w:before="300" w:after="600" w:line="432"/>
        <w:ind w:firstLine="640"/>
        <w:rPr/>
      </w:pPr>
      <w:r>
        <w:rPr>
          <w:rFonts w:ascii="微软雅黑" w:hAnsi="微软雅黑" w:cs="微软雅黑"/>
          <w:i w:val="false"/>
          <w:strike w:val="false"/>
          <w:color w:val="323232"/>
          <w:spacing w:val="0"/>
          <w:sz w:val="28"/>
          <w:u w:val="none"/>
        </w:rPr>
        <w:t>第八条 享有优先推免权学生直接从该专业当年名额中扣除，如果该专业当年不能分配到推荐名额，则先使用该专业当年的可用推免指标数，不足指标从下一年扣除。</w:t>
      </w:r>
    </w:p>
    <w:p>
      <w:pPr>
        <w:snapToGrid/>
        <w:spacing w:before="300" w:after="600" w:line="432"/>
        <w:ind w:firstLine="640"/>
        <w:jc w:val="center"/>
        <w:rPr/>
      </w:pPr>
      <w:r>
        <w:rPr>
          <w:rFonts w:ascii="微软雅黑" w:hAnsi="微软雅黑" w:cs="微软雅黑"/>
          <w:b/>
          <w:i w:val="false"/>
          <w:strike w:val="false"/>
          <w:color w:val="323232"/>
          <w:spacing w:val="0"/>
          <w:sz w:val="28"/>
          <w:u w:val="none"/>
        </w:rPr>
        <w:t>第四章     推荐条件与推荐办法</w:t>
      </w:r>
    </w:p>
    <w:p>
      <w:pPr>
        <w:snapToGrid/>
        <w:spacing w:before="300" w:after="600" w:line="432"/>
        <w:ind w:firstLine="640"/>
        <w:rPr/>
      </w:pPr>
      <w:r>
        <w:rPr>
          <w:rFonts w:ascii="微软雅黑" w:hAnsi="微软雅黑" w:cs="微软雅黑"/>
          <w:i w:val="false"/>
          <w:strike w:val="false"/>
          <w:color w:val="323232"/>
          <w:spacing w:val="0"/>
          <w:sz w:val="28"/>
          <w:u w:val="none"/>
        </w:rPr>
        <w:t>第九条 推免生工作应坚持在德、智、体、美全面衡量的基础上综合测评，实行择优选拔，从具备下列基本条件的学生中推荐：</w:t>
      </w:r>
    </w:p>
    <w:p>
      <w:pPr>
        <w:snapToGrid/>
        <w:spacing w:before="300" w:after="600" w:line="432"/>
        <w:ind w:firstLine="640"/>
        <w:rPr/>
      </w:pPr>
      <w:r>
        <w:rPr>
          <w:rFonts w:ascii="微软雅黑" w:hAnsi="微软雅黑" w:cs="微软雅黑"/>
          <w:i w:val="false"/>
          <w:strike w:val="false"/>
          <w:color w:val="323232"/>
          <w:spacing w:val="0"/>
          <w:sz w:val="28"/>
          <w:u w:val="none"/>
        </w:rPr>
        <w:t>（一）纳入国家普通本科招生计划录取的应届毕业生（不含中职专业课教师公费定向师范生等特殊招生类别、专升本、第二学士学位、独立学院学生）。</w:t>
      </w:r>
    </w:p>
    <w:p>
      <w:pPr>
        <w:snapToGrid/>
        <w:spacing w:before="300" w:after="600" w:line="432"/>
        <w:ind w:firstLine="640"/>
        <w:rPr/>
      </w:pPr>
      <w:r>
        <w:rPr>
          <w:rFonts w:ascii="微软雅黑" w:hAnsi="微软雅黑" w:cs="微软雅黑"/>
          <w:i w:val="false"/>
          <w:strike w:val="false"/>
          <w:color w:val="323232"/>
          <w:spacing w:val="0"/>
          <w:sz w:val="28"/>
          <w:u w:val="none"/>
        </w:rPr>
        <w:t>（二）具有高尚的爱国主义情操和集体主义精神，社会主义信念坚定，社会责任感强，遵纪守法，积极向上，身心健康。</w:t>
      </w:r>
    </w:p>
    <w:p>
      <w:pPr>
        <w:snapToGrid/>
        <w:spacing w:before="300" w:after="600" w:line="432"/>
        <w:ind w:firstLine="640"/>
        <w:rPr/>
      </w:pPr>
      <w:r>
        <w:rPr>
          <w:rFonts w:ascii="微软雅黑" w:hAnsi="微软雅黑" w:cs="微软雅黑"/>
          <w:i w:val="false"/>
          <w:strike w:val="false"/>
          <w:color w:val="323232"/>
          <w:spacing w:val="0"/>
          <w:sz w:val="28"/>
          <w:u w:val="none"/>
        </w:rPr>
        <w:t>（三）勤奋学习，刻苦钻研，成绩优秀；学术研究兴趣浓厚，有较强的创新意识、创新能力和专业能力倾向。</w:t>
      </w:r>
    </w:p>
    <w:p>
      <w:pPr>
        <w:snapToGrid/>
        <w:spacing w:before="300" w:after="600" w:line="432"/>
        <w:ind w:firstLine="640"/>
        <w:rPr/>
      </w:pPr>
      <w:r>
        <w:rPr>
          <w:rFonts w:ascii="微软雅黑" w:hAnsi="微软雅黑" w:cs="微软雅黑"/>
          <w:i w:val="false"/>
          <w:strike w:val="false"/>
          <w:color w:val="323232"/>
          <w:spacing w:val="0"/>
          <w:sz w:val="28"/>
          <w:u w:val="none"/>
        </w:rPr>
        <w:t>（四）诚实守信，学风端正，无任何考试作弊和剽窃他人学术成果记录。</w:t>
      </w:r>
    </w:p>
    <w:p>
      <w:pPr>
        <w:snapToGrid/>
        <w:spacing w:before="300" w:after="600" w:line="432"/>
        <w:ind w:firstLine="640"/>
        <w:rPr/>
      </w:pPr>
      <w:r>
        <w:rPr>
          <w:rFonts w:ascii="微软雅黑" w:hAnsi="微软雅黑" w:cs="微软雅黑"/>
          <w:i w:val="false"/>
          <w:strike w:val="false"/>
          <w:color w:val="323232"/>
          <w:spacing w:val="0"/>
          <w:sz w:val="28"/>
          <w:u w:val="none"/>
        </w:rPr>
        <w:t>（五）品行表现优良，无任何违法违纪受处分记录。</w:t>
      </w:r>
    </w:p>
    <w:p>
      <w:pPr>
        <w:snapToGrid/>
        <w:spacing w:before="300" w:after="600" w:line="432"/>
        <w:ind w:firstLine="640"/>
        <w:rPr/>
      </w:pPr>
      <w:r>
        <w:rPr>
          <w:rFonts w:ascii="微软雅黑" w:hAnsi="微软雅黑" w:cs="微软雅黑"/>
          <w:i w:val="false"/>
          <w:strike w:val="false"/>
          <w:color w:val="323232"/>
          <w:spacing w:val="0"/>
          <w:sz w:val="28"/>
          <w:u w:val="none"/>
        </w:rPr>
        <w:t>第十条 推荐的学生在满足第九条的前提下，还须满足以下条件：</w:t>
      </w:r>
    </w:p>
    <w:p>
      <w:pPr>
        <w:snapToGrid/>
        <w:spacing w:before="300" w:after="600" w:line="432"/>
        <w:ind w:firstLine="640"/>
        <w:rPr/>
      </w:pPr>
      <w:r>
        <w:rPr>
          <w:rFonts w:ascii="微软雅黑" w:hAnsi="微软雅黑" w:cs="微软雅黑"/>
          <w:i w:val="false"/>
          <w:strike w:val="false"/>
          <w:color w:val="323232"/>
          <w:spacing w:val="0"/>
          <w:sz w:val="28"/>
          <w:u w:val="none"/>
        </w:rPr>
        <w:t>(一)修完本专业培养方案规定的前三年或前四年（五年制）的全部课程并取得学分；</w:t>
      </w:r>
    </w:p>
    <w:p>
      <w:pPr>
        <w:snapToGrid/>
        <w:spacing w:before="300" w:after="600" w:line="432"/>
        <w:ind w:firstLine="640"/>
        <w:rPr/>
      </w:pPr>
      <w:r>
        <w:rPr>
          <w:rFonts w:ascii="微软雅黑" w:hAnsi="微软雅黑" w:cs="微软雅黑"/>
          <w:i w:val="false"/>
          <w:strike w:val="false"/>
          <w:color w:val="323232"/>
          <w:spacing w:val="0"/>
          <w:sz w:val="28"/>
          <w:u w:val="none"/>
        </w:rPr>
        <w:t>(二)前三年或前四年（五年制）所修课程平均学分绩点在本年级专业或专业方向排名前15%以内；在校期间，在政府组织的学科竞赛中获得国家级奖励或确有特殊学术专长或对学校有特殊贡献的学生，经校、院两级推免生工作领导小组认定，所修课程平均学分绩点在本年级专业排名可放宽至30%。</w:t>
      </w:r>
    </w:p>
    <w:p>
      <w:pPr>
        <w:snapToGrid/>
        <w:spacing w:before="300" w:after="600" w:line="432"/>
        <w:ind w:firstLine="640"/>
        <w:rPr/>
      </w:pPr>
      <w:r>
        <w:rPr>
          <w:rFonts w:ascii="微软雅黑" w:hAnsi="微软雅黑" w:cs="微软雅黑"/>
          <w:i w:val="false"/>
          <w:strike w:val="false"/>
          <w:color w:val="323232"/>
          <w:spacing w:val="0"/>
          <w:sz w:val="28"/>
          <w:u w:val="none"/>
        </w:rPr>
        <w:t>(三)非艺术专业类学生英语四级考试成绩不低于425分（艺术设计类专业取得《高等学校英语应用能力考试证书》）。</w:t>
      </w:r>
    </w:p>
    <w:p>
      <w:pPr>
        <w:snapToGrid/>
        <w:spacing w:before="300" w:after="600" w:line="432"/>
        <w:ind w:firstLine="640"/>
        <w:rPr/>
      </w:pPr>
      <w:r>
        <w:rPr>
          <w:rFonts w:ascii="微软雅黑" w:hAnsi="微软雅黑" w:cs="微软雅黑"/>
          <w:i w:val="false"/>
          <w:strike w:val="false"/>
          <w:color w:val="323232"/>
          <w:spacing w:val="0"/>
          <w:sz w:val="28"/>
          <w:u w:val="none"/>
        </w:rPr>
        <w:t>第十一条为鼓励创新，保证特别优秀的学生能够获得推荐机会，对于申请推免学生中，满足第九条、第十条的条件，而且符合下列条件之一，经学院认定属实，优先推免。</w:t>
      </w:r>
    </w:p>
    <w:p>
      <w:pPr>
        <w:snapToGrid/>
        <w:spacing w:before="300" w:after="600" w:line="432"/>
        <w:ind w:firstLine="640"/>
        <w:rPr/>
      </w:pPr>
      <w:r>
        <w:rPr>
          <w:rFonts w:ascii="微软雅黑" w:hAnsi="微软雅黑" w:cs="微软雅黑"/>
          <w:i w:val="false"/>
          <w:strike w:val="false"/>
          <w:color w:val="323232"/>
          <w:spacing w:val="0"/>
          <w:sz w:val="28"/>
          <w:u w:val="none"/>
        </w:rPr>
        <w:t>(一)以第一作者在学校认定的重要期刊及以上类型的期刊上发表研究性论文1篇，或经人大复印资料、新华文摘、人民日报、光明日报、中国青年报等全文转载，或以第一作者出版学术专著1部（不含编著、译著）。</w:t>
      </w:r>
    </w:p>
    <w:p>
      <w:pPr>
        <w:snapToGrid/>
        <w:spacing w:before="300" w:after="600" w:line="432"/>
        <w:ind w:firstLine="640"/>
        <w:rPr/>
      </w:pPr>
      <w:r>
        <w:rPr>
          <w:rFonts w:ascii="微软雅黑" w:hAnsi="微软雅黑" w:cs="微软雅黑"/>
          <w:i w:val="false"/>
          <w:strike w:val="false"/>
          <w:color w:val="323232"/>
          <w:spacing w:val="0"/>
          <w:sz w:val="28"/>
          <w:u w:val="none"/>
        </w:rPr>
        <w:t>(二)以第一发明人获得授权发明专利。</w:t>
      </w:r>
    </w:p>
    <w:p>
      <w:pPr>
        <w:snapToGrid/>
        <w:spacing w:before="300" w:after="600" w:line="432"/>
        <w:ind w:firstLine="640"/>
        <w:rPr/>
      </w:pPr>
      <w:r>
        <w:rPr>
          <w:rFonts w:ascii="微软雅黑" w:hAnsi="微软雅黑" w:cs="微软雅黑"/>
          <w:i w:val="false"/>
          <w:strike w:val="false"/>
          <w:color w:val="323232"/>
          <w:spacing w:val="0"/>
          <w:sz w:val="28"/>
          <w:u w:val="none"/>
        </w:rPr>
        <w:t>(三)在政府组织的大学生各类学科专业、学术科技竞赛中获国家级二等奖及以上，且排名第一；或国家一级学会主办的各类竞赛中获国家级二等奖及以上，且排名第一。</w:t>
      </w:r>
    </w:p>
    <w:p>
      <w:pPr>
        <w:snapToGrid/>
        <w:spacing w:before="300" w:after="600" w:line="432"/>
        <w:ind w:firstLine="640"/>
        <w:rPr/>
      </w:pPr>
      <w:r>
        <w:rPr>
          <w:rFonts w:ascii="微软雅黑" w:hAnsi="微软雅黑" w:cs="微软雅黑"/>
          <w:i w:val="false"/>
          <w:strike w:val="false"/>
          <w:color w:val="323232"/>
          <w:spacing w:val="0"/>
          <w:sz w:val="28"/>
          <w:u w:val="none"/>
        </w:rPr>
        <w:t>(四)在精神文明及和谐社会创建活动（见义勇为、救灾抢险、志愿服务、支教扶贫等典型事例）中做出突出贡献，被国家重要媒体宣传报道，经学院推免小组集体决议认定推荐的。</w:t>
      </w:r>
    </w:p>
    <w:p>
      <w:pPr>
        <w:snapToGrid/>
        <w:spacing w:before="300" w:after="600" w:line="432"/>
        <w:ind w:firstLine="640"/>
        <w:rPr/>
      </w:pPr>
      <w:r>
        <w:rPr>
          <w:rFonts w:ascii="微软雅黑" w:hAnsi="微软雅黑" w:cs="微软雅黑"/>
          <w:i w:val="false"/>
          <w:strike w:val="false"/>
          <w:color w:val="323232"/>
          <w:spacing w:val="0"/>
          <w:sz w:val="28"/>
          <w:u w:val="none"/>
        </w:rPr>
        <w:t>（五）退伍复学。</w:t>
      </w:r>
    </w:p>
    <w:p>
      <w:pPr>
        <w:snapToGrid/>
        <w:spacing w:before="300" w:after="600" w:line="432"/>
        <w:ind w:firstLine="640"/>
        <w:rPr/>
      </w:pPr>
      <w:r>
        <w:rPr>
          <w:rFonts w:ascii="微软雅黑" w:hAnsi="微软雅黑" w:cs="微软雅黑"/>
          <w:i w:val="false"/>
          <w:strike w:val="false"/>
          <w:color w:val="323232"/>
          <w:spacing w:val="0"/>
          <w:sz w:val="28"/>
          <w:u w:val="none"/>
        </w:rPr>
        <w:t>(六)对以上条款未涉及的内容，由学院推免小组集体决定。</w:t>
      </w:r>
    </w:p>
    <w:p>
      <w:pPr>
        <w:snapToGrid/>
        <w:spacing w:before="300" w:after="600" w:line="432"/>
        <w:ind w:firstLine="640"/>
        <w:rPr/>
      </w:pPr>
      <w:r>
        <w:rPr>
          <w:rFonts w:ascii="微软雅黑" w:hAnsi="微软雅黑" w:cs="微软雅黑"/>
          <w:i w:val="false"/>
          <w:strike w:val="false"/>
          <w:color w:val="323232"/>
          <w:spacing w:val="0"/>
          <w:sz w:val="28"/>
          <w:u w:val="none"/>
        </w:rPr>
        <w:t>第十二条 按《建筑与艺术设计学院推荐免生综合测评办法》进行综合测评（附件1），依据综合测评成绩的高低，分专业对申请人进行排序。当出现综合测评成绩完全相同时，则依次按照学业测评分、科研素养测评分高低作为判断依据，相应得分高的申请人排名靠前。根据专业当年的推荐名额，依照排名次序，依次确定推荐候选人和备选人。</w:t>
      </w:r>
    </w:p>
    <w:p>
      <w:pPr>
        <w:snapToGrid/>
        <w:spacing w:before="300" w:after="600" w:line="432"/>
        <w:ind w:firstLine="640"/>
        <w:rPr/>
      </w:pPr>
      <w:r>
        <w:rPr>
          <w:rFonts w:ascii="微软雅黑" w:hAnsi="微软雅黑" w:cs="微软雅黑"/>
          <w:i w:val="false"/>
          <w:strike w:val="false"/>
          <w:color w:val="323232"/>
          <w:spacing w:val="0"/>
          <w:sz w:val="28"/>
          <w:u w:val="none"/>
        </w:rPr>
        <w:t>第十三条 如果排名前面的申请人主动放弃被推荐权，或被取消了资格，则从备选人员中确定拟推免人员。备选人员确定方法：</w:t>
      </w:r>
    </w:p>
    <w:p>
      <w:pPr>
        <w:snapToGrid/>
        <w:spacing w:before="300" w:after="600" w:line="432"/>
        <w:ind w:firstLine="640"/>
        <w:rPr/>
      </w:pPr>
      <w:r>
        <w:rPr>
          <w:rFonts w:ascii="微软雅黑" w:hAnsi="微软雅黑" w:cs="微软雅黑"/>
          <w:i w:val="false"/>
          <w:strike w:val="false"/>
          <w:color w:val="323232"/>
          <w:spacing w:val="0"/>
          <w:sz w:val="28"/>
          <w:u w:val="none"/>
        </w:rPr>
        <w:t>(一)拟推免名单所属专业按1：3确定备选推荐名单，当年无推荐名额的专业确定1-2个（具体根据当年学校分配名额）备选推荐名额。</w:t>
      </w:r>
    </w:p>
    <w:p>
      <w:pPr>
        <w:snapToGrid/>
        <w:spacing w:before="300" w:after="600" w:line="432"/>
        <w:ind w:firstLine="640"/>
        <w:rPr/>
      </w:pPr>
      <w:r>
        <w:rPr>
          <w:rFonts w:ascii="微软雅黑" w:hAnsi="微软雅黑" w:cs="微软雅黑"/>
          <w:i w:val="false"/>
          <w:strike w:val="false"/>
          <w:color w:val="323232"/>
          <w:spacing w:val="0"/>
          <w:sz w:val="28"/>
          <w:u w:val="none"/>
        </w:rPr>
        <w:t>(二)若拟推免名单所属专业无合适的备选人员，则根据其它专业推免权的高低，从其它专业备选人员中确定拟推免人员。</w:t>
      </w:r>
    </w:p>
    <w:p>
      <w:pPr>
        <w:snapToGrid/>
        <w:spacing w:before="300" w:after="600" w:line="432"/>
        <w:ind w:firstLine="640"/>
        <w:jc w:val="center"/>
        <w:rPr/>
      </w:pPr>
      <w:r>
        <w:rPr>
          <w:rFonts w:ascii="微软雅黑" w:hAnsi="微软雅黑" w:cs="微软雅黑"/>
          <w:b/>
          <w:i w:val="false"/>
          <w:strike w:val="false"/>
          <w:color w:val="323232"/>
          <w:spacing w:val="0"/>
          <w:sz w:val="28"/>
          <w:u w:val="none"/>
        </w:rPr>
        <w:t>第五章    工作流程</w:t>
      </w:r>
    </w:p>
    <w:p>
      <w:pPr>
        <w:snapToGrid/>
        <w:spacing w:before="300" w:after="600" w:line="432"/>
        <w:ind w:firstLine="640"/>
        <w:rPr/>
      </w:pPr>
      <w:r>
        <w:rPr>
          <w:rFonts w:ascii="微软雅黑" w:hAnsi="微软雅黑" w:cs="微软雅黑"/>
          <w:i w:val="false"/>
          <w:strike w:val="false"/>
          <w:color w:val="323232"/>
          <w:spacing w:val="0"/>
          <w:sz w:val="28"/>
          <w:u w:val="none"/>
        </w:rPr>
        <w:t>第十四条推荐工作按以下流程办理，通过下述程序的学生取得推免生资格：</w:t>
      </w:r>
    </w:p>
    <w:p>
      <w:pPr>
        <w:snapToGrid/>
        <w:spacing w:before="300" w:after="600" w:line="432"/>
        <w:ind w:firstLine="640"/>
        <w:rPr/>
      </w:pPr>
      <w:r>
        <w:rPr>
          <w:rFonts w:ascii="微软雅黑" w:hAnsi="微软雅黑" w:cs="微软雅黑"/>
          <w:i w:val="false"/>
          <w:strike w:val="false"/>
          <w:color w:val="323232"/>
          <w:spacing w:val="0"/>
          <w:sz w:val="28"/>
          <w:u w:val="none"/>
        </w:rPr>
        <w:t>(一)公示与动员。学院在应届本科毕业生中进行动员，宣传学校各项推免政策、条件及学院的推免工作程序，公布学院推免工作实施细则，含推免生遴选工作小组名单、推荐名额、推免生遴选办法等。</w:t>
      </w:r>
    </w:p>
    <w:p>
      <w:pPr>
        <w:snapToGrid/>
        <w:spacing w:before="300" w:after="600" w:line="432"/>
        <w:ind w:firstLine="640"/>
        <w:rPr/>
      </w:pPr>
      <w:r>
        <w:rPr>
          <w:rFonts w:ascii="微软雅黑" w:hAnsi="微软雅黑" w:cs="微软雅黑"/>
          <w:i w:val="false"/>
          <w:strike w:val="false"/>
          <w:color w:val="323232"/>
          <w:spacing w:val="0"/>
          <w:sz w:val="28"/>
          <w:u w:val="none"/>
        </w:rPr>
        <w:t>(二)学生申请。符合申请条件的学生，自愿申请，填写《湖南科技大学推荐免试攻读硕士学位研究生资格申请表》和《建筑与艺术设计学院推荐免试攻读硕士学位研究生预申请表》（附表1），并签字确认。</w:t>
      </w:r>
    </w:p>
    <w:p>
      <w:pPr>
        <w:snapToGrid/>
        <w:spacing w:before="300" w:after="600" w:line="432"/>
        <w:ind w:firstLine="640"/>
        <w:rPr/>
      </w:pPr>
      <w:r>
        <w:rPr>
          <w:rFonts w:ascii="微软雅黑" w:hAnsi="微软雅黑" w:cs="微软雅黑"/>
          <w:i w:val="false"/>
          <w:strike w:val="false"/>
          <w:color w:val="323232"/>
          <w:spacing w:val="0"/>
          <w:sz w:val="28"/>
          <w:u w:val="none"/>
        </w:rPr>
        <w:t>（三）材料审核对。申请人在规定的时间内向学院提交申请书及相关证明材料，学院相关职能部门对材料的真实性进行审核，并签字确认。</w:t>
      </w:r>
    </w:p>
    <w:p>
      <w:pPr>
        <w:snapToGrid/>
        <w:spacing w:before="300" w:after="600" w:line="432"/>
        <w:ind w:firstLine="640"/>
        <w:rPr/>
      </w:pPr>
      <w:r>
        <w:rPr>
          <w:rFonts w:ascii="微软雅黑" w:hAnsi="微软雅黑" w:cs="微软雅黑"/>
          <w:i w:val="false"/>
          <w:strike w:val="false"/>
          <w:color w:val="323232"/>
          <w:spacing w:val="0"/>
          <w:sz w:val="28"/>
          <w:u w:val="none"/>
        </w:rPr>
        <w:t>(四)学院初选。学院（部）推免生遴选工作小组对申请者按上级文件及本工作细则的规定进行综合测评，广泛征求师生的意见，并结合学生预申请表，确定可进入推免考核环节的初选名单和备选名单，并张榜公布3天。</w:t>
      </w:r>
    </w:p>
    <w:p>
      <w:pPr>
        <w:snapToGrid/>
        <w:spacing w:before="300" w:after="600" w:line="432"/>
        <w:ind w:firstLine="640"/>
        <w:rPr/>
      </w:pPr>
      <w:r>
        <w:rPr>
          <w:rFonts w:ascii="微软雅黑" w:hAnsi="微软雅黑" w:cs="微软雅黑"/>
          <w:i w:val="false"/>
          <w:strike w:val="false"/>
          <w:color w:val="323232"/>
          <w:spacing w:val="0"/>
          <w:sz w:val="28"/>
          <w:u w:val="none"/>
        </w:rPr>
        <w:t>(五)公示无异议的学生填写教育部统一印制的《全国推荐免试攻读硕士学位研究生登记表》，经学院推荐工作小组审核盖章后，报学校推免生遴选工作领导小组审定。</w:t>
      </w:r>
    </w:p>
    <w:p>
      <w:pPr>
        <w:snapToGrid/>
        <w:spacing w:before="300" w:after="600" w:line="432"/>
        <w:ind w:firstLine="640"/>
        <w:rPr/>
      </w:pPr>
      <w:r>
        <w:rPr>
          <w:rFonts w:ascii="微软雅黑" w:hAnsi="微软雅黑" w:cs="微软雅黑"/>
          <w:i w:val="false"/>
          <w:strike w:val="false"/>
          <w:color w:val="323232"/>
          <w:spacing w:val="0"/>
          <w:sz w:val="28"/>
          <w:u w:val="none"/>
        </w:rPr>
        <w:t>(六)学校在教育部规定时间内通过“全国推荐优秀应届本科毕业生免试攻读研究生信息公开暨管理服务系统”（以下简称“推免服务系统”）报湖南省教育考试院进行政策审核，并按要求向教育部备案。最终推免生名单以“推免服务系统”信息为准。</w:t>
      </w:r>
    </w:p>
    <w:p>
      <w:pPr>
        <w:snapToGrid/>
        <w:spacing w:before="300" w:after="600" w:line="432"/>
        <w:ind w:firstLine="640"/>
        <w:rPr/>
      </w:pPr>
      <w:r>
        <w:rPr>
          <w:rFonts w:ascii="微软雅黑" w:hAnsi="微软雅黑" w:cs="微软雅黑"/>
          <w:i w:val="false"/>
          <w:strike w:val="false"/>
          <w:color w:val="323232"/>
          <w:spacing w:val="0"/>
          <w:sz w:val="28"/>
          <w:u w:val="none"/>
        </w:rPr>
        <w:t>第十五条取得推免生资格的学生须按国家招考研究生的要求进行网上志愿填报并及时接收确认招生单位的复试及录取通知，未按时履行手续者，视为放弃推免生资格。</w:t>
      </w:r>
    </w:p>
    <w:p>
      <w:pPr>
        <w:snapToGrid/>
        <w:spacing w:before="300" w:after="600" w:line="432"/>
        <w:ind w:firstLine="640"/>
        <w:rPr/>
      </w:pPr>
      <w:r>
        <w:rPr>
          <w:rFonts w:ascii="微软雅黑" w:hAnsi="微软雅黑" w:cs="微软雅黑"/>
          <w:i w:val="false"/>
          <w:strike w:val="false"/>
          <w:color w:val="323232"/>
          <w:spacing w:val="0"/>
          <w:sz w:val="28"/>
          <w:u w:val="none"/>
        </w:rPr>
        <w:t>第十六条 取得推免生资格的学生有下列情形之一者，取消推免生资格：</w:t>
      </w:r>
    </w:p>
    <w:p>
      <w:pPr>
        <w:snapToGrid/>
        <w:spacing w:before="300" w:after="600" w:line="432"/>
        <w:ind w:firstLine="640"/>
        <w:rPr/>
      </w:pPr>
      <w:r>
        <w:rPr>
          <w:rFonts w:ascii="微软雅黑" w:hAnsi="微软雅黑" w:cs="微软雅黑"/>
          <w:i w:val="false"/>
          <w:strike w:val="false"/>
          <w:color w:val="323232"/>
          <w:spacing w:val="0"/>
          <w:sz w:val="28"/>
          <w:u w:val="none"/>
        </w:rPr>
        <w:t>（一）违法或受纪律处分的。</w:t>
      </w:r>
    </w:p>
    <w:p>
      <w:pPr>
        <w:snapToGrid/>
        <w:spacing w:before="300" w:after="600" w:line="432"/>
        <w:ind w:firstLine="640"/>
        <w:rPr/>
      </w:pPr>
      <w:r>
        <w:rPr>
          <w:rFonts w:ascii="微软雅黑" w:hAnsi="微软雅黑" w:cs="微软雅黑"/>
          <w:i w:val="false"/>
          <w:strike w:val="false"/>
          <w:color w:val="323232"/>
          <w:spacing w:val="0"/>
          <w:sz w:val="28"/>
          <w:u w:val="none"/>
        </w:rPr>
        <w:t>（二）在申请推免生过程中弄虚作假的。</w:t>
      </w:r>
    </w:p>
    <w:p>
      <w:pPr>
        <w:snapToGrid/>
        <w:spacing w:before="300" w:after="600" w:line="432"/>
        <w:ind w:firstLine="640"/>
        <w:rPr/>
      </w:pPr>
      <w:r>
        <w:rPr>
          <w:rFonts w:ascii="微软雅黑" w:hAnsi="微软雅黑" w:cs="微软雅黑"/>
          <w:i w:val="false"/>
          <w:strike w:val="false"/>
          <w:color w:val="323232"/>
          <w:spacing w:val="0"/>
          <w:sz w:val="28"/>
          <w:u w:val="none"/>
        </w:rPr>
        <w:t>（三）入学前未取得学士学位或本科毕业证书的。</w:t>
      </w:r>
    </w:p>
    <w:p>
      <w:pPr>
        <w:snapToGrid/>
        <w:spacing w:before="300" w:after="600" w:line="432"/>
        <w:ind w:firstLine="640"/>
        <w:jc w:val="center"/>
        <w:rPr/>
      </w:pPr>
      <w:r>
        <w:rPr>
          <w:rFonts w:ascii="微软雅黑" w:hAnsi="微软雅黑" w:cs="微软雅黑"/>
          <w:b/>
          <w:i w:val="false"/>
          <w:strike w:val="false"/>
          <w:color w:val="323232"/>
          <w:spacing w:val="0"/>
          <w:sz w:val="28"/>
          <w:u w:val="none"/>
        </w:rPr>
        <w:t>第六章    监督与申诉</w:t>
      </w:r>
    </w:p>
    <w:p>
      <w:pPr>
        <w:snapToGrid/>
        <w:spacing w:before="300" w:after="600" w:line="432"/>
        <w:ind w:firstLine="640"/>
        <w:rPr/>
      </w:pPr>
      <w:r>
        <w:rPr>
          <w:rFonts w:ascii="微软雅黑" w:hAnsi="微软雅黑" w:cs="微软雅黑"/>
          <w:i w:val="false"/>
          <w:strike w:val="false"/>
          <w:color w:val="323232"/>
          <w:spacing w:val="0"/>
          <w:sz w:val="28"/>
          <w:u w:val="none"/>
        </w:rPr>
        <w:t>第十七条 有直系亲属申请推免生的工作人员应回避。</w:t>
      </w:r>
    </w:p>
    <w:p>
      <w:pPr>
        <w:snapToGrid/>
        <w:spacing w:before="300" w:after="600" w:line="432"/>
        <w:ind w:firstLine="640"/>
        <w:rPr/>
      </w:pPr>
      <w:r>
        <w:rPr>
          <w:rFonts w:ascii="微软雅黑" w:hAnsi="微软雅黑" w:cs="微软雅黑"/>
          <w:i w:val="false"/>
          <w:strike w:val="false"/>
          <w:color w:val="323232"/>
          <w:spacing w:val="0"/>
          <w:sz w:val="28"/>
          <w:u w:val="none"/>
        </w:rPr>
        <w:t>第十八条 学生如对学院推荐结果有异议，可在学院公示之日起3个工作日内向学院申请复议，学院应在3个工作日内对申请人反映的问题进行核实并将复议结论书面告知申请人。</w:t>
      </w:r>
    </w:p>
    <w:p>
      <w:pPr>
        <w:snapToGrid/>
        <w:spacing w:before="300" w:after="600" w:line="432"/>
        <w:ind w:firstLine="640"/>
        <w:rPr/>
      </w:pPr>
      <w:r>
        <w:rPr>
          <w:rFonts w:ascii="微软雅黑" w:hAnsi="微软雅黑" w:cs="微软雅黑"/>
          <w:i w:val="false"/>
          <w:strike w:val="false"/>
          <w:color w:val="323232"/>
          <w:spacing w:val="0"/>
          <w:sz w:val="28"/>
          <w:u w:val="none"/>
        </w:rPr>
        <w:t>第十九条 学生如对学院复议结论或学校公示名单有异议，可在接到复议结论或学校公示之日起5个工作日内向学校推免生遴选工作领导小组提出书面申诉，推免生遴选工作领导小组须对申诉人反映的问题予以复查，并在5个工作日内做出复查结论并书面告知申诉人。</w:t>
      </w:r>
    </w:p>
    <w:p>
      <w:pPr>
        <w:snapToGrid/>
        <w:spacing w:before="300" w:after="600" w:line="432"/>
        <w:ind w:firstLine="640"/>
        <w:jc w:val="center"/>
        <w:rPr/>
      </w:pPr>
      <w:r>
        <w:rPr>
          <w:rFonts w:ascii="微软雅黑" w:hAnsi="微软雅黑" w:cs="微软雅黑"/>
          <w:b/>
          <w:i w:val="false"/>
          <w:strike w:val="false"/>
          <w:color w:val="323232"/>
          <w:spacing w:val="0"/>
          <w:sz w:val="28"/>
          <w:u w:val="none"/>
        </w:rPr>
        <w:t>第七章    附则</w:t>
      </w:r>
    </w:p>
    <w:p>
      <w:pPr>
        <w:snapToGrid/>
        <w:spacing w:before="300" w:after="600" w:line="432"/>
        <w:ind w:firstLine="640"/>
        <w:rPr/>
      </w:pPr>
      <w:r>
        <w:rPr>
          <w:rFonts w:ascii="微软雅黑" w:hAnsi="微软雅黑" w:cs="微软雅黑"/>
          <w:i w:val="false"/>
          <w:strike w:val="false"/>
          <w:color w:val="323232"/>
          <w:spacing w:val="0"/>
          <w:sz w:val="28"/>
          <w:u w:val="none"/>
        </w:rPr>
        <w:t>第二十条 本细则由推免小组负责解释。</w:t>
      </w:r>
    </w:p>
    <w:p>
      <w:pPr>
        <w:snapToGrid/>
        <w:spacing w:before="300" w:after="600" w:line="432"/>
        <w:ind w:firstLine="640"/>
        <w:rPr/>
      </w:pPr>
      <w:r>
        <w:rPr>
          <w:rFonts w:ascii="微软雅黑" w:hAnsi="微软雅黑" w:cs="微软雅黑"/>
          <w:i w:val="false"/>
          <w:strike w:val="false"/>
          <w:color w:val="323232"/>
          <w:spacing w:val="0"/>
          <w:sz w:val="28"/>
          <w:u w:val="none"/>
        </w:rPr>
        <w:t>第二十一条 本细则自公布之日起施。</w:t>
      </w:r>
    </w:p>
    <w:p>
      <w:pPr>
        <w:snapToGrid/>
        <w:spacing w:before="300" w:after="600" w:line="432"/>
        <w:ind w:firstLine="640"/>
        <w:rPr/>
      </w:pPr>
      <w:r>
        <w:rPr>
          <w:rFonts w:ascii="微软雅黑" w:hAnsi="微软雅黑" w:cs="微软雅黑"/>
          <w:i w:val="false"/>
          <w:strike w:val="false"/>
          <w:color w:val="323232"/>
          <w:spacing w:val="0"/>
          <w:sz w:val="28"/>
          <w:u w:val="none"/>
        </w:rPr>
        <w:t xml:space="preserve">                                                                                                                                                                                   建筑与艺术设计学院</w:t>
      </w:r>
    </w:p>
    <w:p>
      <w:pPr>
        <w:snapToGrid/>
        <w:spacing w:before="300" w:after="600" w:line="432"/>
        <w:ind w:firstLine="640"/>
        <w:rPr/>
      </w:pPr>
      <w:r>
        <w:rPr>
          <w:rFonts w:ascii="微软雅黑" w:hAnsi="微软雅黑" w:cs="微软雅黑"/>
          <w:i w:val="false"/>
          <w:strike w:val="false"/>
          <w:color w:val="323232"/>
          <w:spacing w:val="0"/>
          <w:sz w:val="28"/>
          <w:u w:val="none"/>
        </w:rPr>
        <w:t xml:space="preserve">                                                                                                                                                                                       2023年3月2日</w:t>
      </w:r>
    </w:p>
    <w:p>
      <w:pPr>
        <w:snapToGrid/>
        <w:spacing w:before="300" w:after="600" w:line="432"/>
        <w:ind w:firstLine="640"/>
        <w:rPr/>
      </w:pPr>
      <w:r>
        <w:rPr>
          <w:rFonts w:ascii="微软雅黑" w:hAnsi="微软雅黑" w:cs="微软雅黑"/>
          <w:i w:val="false"/>
          <w:strike w:val="false"/>
          <w:color w:val="323232"/>
          <w:spacing w:val="0"/>
          <w:sz w:val="28"/>
          <w:u w:val="none"/>
        </w:rPr>
        <w:t xml:space="preserve">                                                                  </w:t>
      </w:r>
      <w:r>
        <w:rPr>
          <w:rFonts w:ascii="微软雅黑" w:hAnsi="微软雅黑" w:cs="微软雅黑"/>
          <w:b/>
          <w:i w:val="false"/>
          <w:strike w:val="false"/>
          <w:color w:val="323232"/>
          <w:spacing w:val="0"/>
          <w:sz w:val="28"/>
          <w:u w:val="none"/>
        </w:rPr>
        <w:t xml:space="preserve">    附件1：建筑与艺术设计学院推免生综合测评办法</w:t>
      </w:r>
    </w:p>
    <w:p>
      <w:pPr>
        <w:snapToGrid/>
        <w:spacing w:before="300" w:after="600" w:line="432"/>
        <w:ind w:firstLine="640"/>
        <w:rPr/>
      </w:pPr>
      <w:r>
        <w:rPr>
          <w:rFonts w:ascii="微软雅黑" w:hAnsi="微软雅黑" w:cs="微软雅黑"/>
          <w:i w:val="false"/>
          <w:strike w:val="false"/>
          <w:color w:val="323232"/>
          <w:spacing w:val="0"/>
          <w:sz w:val="28"/>
          <w:u w:val="none"/>
        </w:rPr>
        <w:t>为保证我院推荐优秀应届本科毕业生免试攻读硕士学位研究生（以下简称推免生）工作公开、公正、公平地进行，根据《全国普通高等学校推荐优秀应届本科毕业生免试攻读硕士研究生工作管理办法（试行）》（教学〔2006〕14号）和学校文件规定，特制定本测评办法。</w:t>
      </w:r>
    </w:p>
    <w:p>
      <w:pPr>
        <w:snapToGrid/>
        <w:spacing w:before="300" w:after="600" w:line="432"/>
        <w:ind w:firstLine="640"/>
        <w:rPr/>
      </w:pPr>
      <w:r>
        <w:rPr>
          <w:rFonts w:ascii="微软雅黑" w:hAnsi="微软雅黑" w:cs="微软雅黑"/>
          <w:i w:val="false"/>
          <w:strike w:val="false"/>
          <w:color w:val="323232"/>
          <w:spacing w:val="0"/>
          <w:sz w:val="28"/>
          <w:u w:val="none"/>
        </w:rPr>
        <w:t>（一）综合测评要素</w:t>
      </w:r>
    </w:p>
    <w:p>
      <w:pPr>
        <w:snapToGrid/>
        <w:spacing w:before="300" w:after="600" w:line="432"/>
        <w:ind w:firstLine="640"/>
        <w:rPr/>
      </w:pPr>
      <w:r>
        <w:rPr>
          <w:rFonts w:ascii="微软雅黑" w:hAnsi="微软雅黑" w:cs="微软雅黑"/>
          <w:i w:val="false"/>
          <w:strike w:val="false"/>
          <w:color w:val="323232"/>
          <w:spacing w:val="0"/>
          <w:sz w:val="28"/>
          <w:u w:val="none"/>
        </w:rPr>
        <w:t>推免生综合测评指标体系见表1。综合测评分由学业成绩、社会综合表现和科研素养三部分组成。</w:t>
      </w:r>
    </w:p>
    <w:p>
      <w:pPr>
        <w:snapToGrid/>
        <w:spacing w:before="300" w:after="600" w:line="432"/>
        <w:ind w:firstLine="640"/>
        <w:rPr/>
      </w:pPr>
      <w:r>
        <w:rPr>
          <w:rFonts w:ascii="微软雅黑" w:hAnsi="微软雅黑" w:cs="微软雅黑"/>
          <w:i w:val="false"/>
          <w:strike w:val="false"/>
          <w:color w:val="323232"/>
          <w:spacing w:val="0"/>
          <w:sz w:val="28"/>
          <w:u w:val="none"/>
        </w:rPr>
        <w:t>表1建筑与艺术设计学院推免生综合测评指标体系</w:t>
      </w:r>
    </w:p>
    <w:p>
      <w:pPr>
        <w:snapToGrid/>
        <w:spacing w:before="300" w:after="600" w:line="432"/>
        <w:ind w:left="0" w:right="0" w:firstLine="640"/>
        <w:rPr/>
      </w:pPr>
    </w:p>
    <w:tbl>
      <w:tblPr>
        <w:tblStyle w:val="000015"/>
        <w:tblLayout w:type="fixed"/>
      </w:tblPr>
      <w:tblGrid>
        <w:gridCol w:w="885"/>
        <w:gridCol w:w="1335"/>
        <w:gridCol w:w="915"/>
        <w:gridCol w:w="1485"/>
        <w:gridCol w:w="2040"/>
        <w:gridCol w:w="555"/>
      </w:tblGrid>
      <w:tr>
        <w:trPr>
          <w:trHeight w:val="886"/>
        </w:trPr>
        <w:tc>
          <w:tcPr>
            <w:tcW w:w="88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项目</w:t>
            </w:r>
          </w:p>
          <w:p>
            <w:pPr>
              <w:snapToGrid/>
              <w:spacing w:before="0" w:after="0" w:line="576"/>
              <w:ind/>
              <w:rPr/>
            </w:pPr>
            <w:r>
              <w:rPr>
                <w:rFonts w:ascii="微软雅黑" w:hAnsi="微软雅黑" w:cs="微软雅黑"/>
                <w:i w:val="false"/>
                <w:strike w:val="false"/>
                <w:color w:val="323232"/>
                <w:spacing w:val="0"/>
                <w:sz w:val="28"/>
                <w:u w:val="none"/>
                <w:vertAlign w:val="baseline"/>
              </w:rPr>
              <w:t>得分</w:t>
            </w:r>
          </w:p>
        </w:tc>
        <w:tc>
          <w:tcPr>
            <w:tcW w:w="133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基本</w:t>
            </w:r>
          </w:p>
          <w:p>
            <w:pPr>
              <w:snapToGrid/>
              <w:spacing w:before="0" w:after="0" w:line="576"/>
              <w:ind/>
              <w:rPr/>
            </w:pPr>
            <w:r>
              <w:rPr>
                <w:rFonts w:ascii="微软雅黑" w:hAnsi="微软雅黑" w:cs="微软雅黑"/>
                <w:i w:val="false"/>
                <w:strike w:val="false"/>
                <w:color w:val="323232"/>
                <w:spacing w:val="0"/>
                <w:sz w:val="28"/>
                <w:u w:val="none"/>
                <w:vertAlign w:val="baseline"/>
              </w:rPr>
              <w:t>要素</w:t>
            </w:r>
          </w:p>
        </w:tc>
        <w:tc>
          <w:tcPr>
            <w:tcW w:w="9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权重</w:t>
            </w:r>
          </w:p>
        </w:tc>
        <w:tc>
          <w:tcPr>
            <w:tcW w:w="148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测评内容</w:t>
            </w:r>
          </w:p>
        </w:tc>
        <w:tc>
          <w:tcPr>
            <w:tcW w:w="20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测评信息审核</w:t>
            </w:r>
          </w:p>
        </w:tc>
        <w:tc>
          <w:tcPr>
            <w:tcW w:w="5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备注</w:t>
            </w:r>
          </w:p>
        </w:tc>
      </w:tr>
      <w:tr>
        <w:trPr>
          <w:trHeight w:val="900"/>
        </w:trPr>
        <w:tc>
          <w:tcPr>
            <w:tcW w:w="885" w:type="dxa"/>
            <w:vMerge w:val="restart"/>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综合</w:t>
            </w:r>
          </w:p>
          <w:p>
            <w:pPr>
              <w:snapToGrid/>
              <w:spacing w:before="0" w:after="0" w:line="576"/>
              <w:ind/>
              <w:rPr/>
            </w:pPr>
            <w:r>
              <w:rPr>
                <w:rFonts w:ascii="微软雅黑" w:hAnsi="微软雅黑" w:cs="微软雅黑"/>
                <w:i w:val="false"/>
                <w:strike w:val="false"/>
                <w:color w:val="323232"/>
                <w:spacing w:val="0"/>
                <w:sz w:val="28"/>
                <w:u w:val="none"/>
                <w:vertAlign w:val="baseline"/>
              </w:rPr>
              <w:t>测评分</w:t>
            </w:r>
          </w:p>
        </w:tc>
        <w:tc>
          <w:tcPr>
            <w:tcW w:w="133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学业成绩</w:t>
            </w:r>
          </w:p>
        </w:tc>
        <w:tc>
          <w:tcPr>
            <w:tcW w:w="9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0.85</w:t>
            </w:r>
          </w:p>
        </w:tc>
        <w:tc>
          <w:tcPr>
            <w:tcW w:w="148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所修课程平均学分绩点</w:t>
            </w:r>
          </w:p>
        </w:tc>
        <w:tc>
          <w:tcPr>
            <w:tcW w:w="20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由教务办从教务系统下载，并签字确认</w:t>
            </w:r>
          </w:p>
        </w:tc>
        <w:tc>
          <w:tcPr>
            <w:tcW w:w="5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432"/>
              <w:ind/>
              <w:rPr/>
            </w:pPr>
          </w:p>
        </w:tc>
      </w:tr>
      <w:tr>
        <w:trPr>
          <w:trHeight w:val="928"/>
        </w:trPr>
        <w:tc>
          <w:tcPr>
            <w:tcW w:w="885" w:type="dxa"/>
            <w:vMerge w:val="continue"/>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line="240"/>
              <w:ind/>
              <w:rPr/>
            </w:pPr>
          </w:p>
        </w:tc>
        <w:tc>
          <w:tcPr>
            <w:tcW w:w="133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科研素养</w:t>
            </w:r>
          </w:p>
        </w:tc>
        <w:tc>
          <w:tcPr>
            <w:tcW w:w="9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0.15</w:t>
            </w:r>
          </w:p>
        </w:tc>
        <w:tc>
          <w:tcPr>
            <w:tcW w:w="148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研究与创新能力加分（附件2）</w:t>
            </w:r>
          </w:p>
        </w:tc>
        <w:tc>
          <w:tcPr>
            <w:tcW w:w="20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科研秘书、教务办负责审核</w:t>
            </w:r>
          </w:p>
        </w:tc>
        <w:tc>
          <w:tcPr>
            <w:tcW w:w="5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432"/>
              <w:ind/>
              <w:rPr/>
            </w:pPr>
          </w:p>
        </w:tc>
      </w:tr>
    </w:tbl>
    <w:p>
      <w:pPr>
        <w:snapToGrid/>
        <w:spacing w:before="300" w:after="600" w:line="432"/>
        <w:ind w:left="0" w:right="0" w:firstLine="640"/>
        <w:rPr/>
      </w:pPr>
    </w:p>
    <w:p>
      <w:pPr>
        <w:snapToGrid/>
        <w:spacing w:before="300" w:after="600" w:line="432"/>
        <w:ind w:firstLine="640"/>
        <w:rPr/>
      </w:pPr>
      <w:r>
        <w:rPr>
          <w:rFonts w:ascii="微软雅黑" w:hAnsi="微软雅黑" w:cs="微软雅黑"/>
          <w:i w:val="false"/>
          <w:strike w:val="false"/>
          <w:color w:val="323232"/>
          <w:spacing w:val="0"/>
          <w:sz w:val="28"/>
          <w:u w:val="none"/>
        </w:rPr>
        <w:t>（二）基本分计算办法</w:t>
      </w:r>
    </w:p>
    <w:p>
      <w:pPr>
        <w:snapToGrid/>
        <w:spacing w:before="300" w:after="600" w:line="432"/>
        <w:ind w:firstLine="640"/>
        <w:rPr/>
      </w:pPr>
      <w:r>
        <w:rPr>
          <w:rFonts w:ascii="微软雅黑" w:hAnsi="微软雅黑" w:cs="微软雅黑"/>
          <w:i w:val="false"/>
          <w:strike w:val="false"/>
          <w:color w:val="323232"/>
          <w:spacing w:val="0"/>
          <w:sz w:val="28"/>
          <w:u w:val="none"/>
        </w:rPr>
        <w:t>其计算公式如下：</w:t>
      </w:r>
    </w:p>
    <w:p>
      <w:pPr>
        <w:snapToGrid/>
        <w:spacing w:before="300" w:after="600" w:line="432"/>
        <w:ind w:firstLine="640"/>
        <w:rPr/>
      </w:pPr>
      <w:r>
        <w:rPr>
          <w:rFonts w:ascii="微软雅黑" w:hAnsi="微软雅黑" w:cs="微软雅黑"/>
          <w:i w:val="false"/>
          <w:strike w:val="false"/>
          <w:color w:val="323232"/>
          <w:spacing w:val="0"/>
          <w:sz w:val="28"/>
          <w:u w:val="none"/>
        </w:rPr>
        <w:t>W="X*85%+Y*15%</w:t>
      </w:r>
    </w:p>
    <w:p>
      <w:pPr>
        <w:snapToGrid/>
        <w:spacing w:before="300" w:after="600" w:line="432"/>
        <w:ind w:firstLine="640"/>
        <w:rPr/>
      </w:pPr>
      <w:r>
        <w:rPr>
          <w:rFonts w:ascii="微软雅黑" w:hAnsi="微软雅黑" w:cs="微软雅黑"/>
          <w:i w:val="false"/>
          <w:strike w:val="false"/>
          <w:color w:val="323232"/>
          <w:spacing w:val="0"/>
          <w:sz w:val="28"/>
          <w:u w:val="none"/>
        </w:rPr>
        <w:t>其中W为综合测评分，X为学业绩点成绩得分，Y为科研素养得分。</w:t>
      </w:r>
    </w:p>
    <w:p>
      <w:pPr>
        <w:snapToGrid/>
        <w:spacing w:before="300" w:after="600" w:line="432"/>
        <w:ind w:firstLine="640"/>
        <w:rPr/>
      </w:pPr>
      <w:r>
        <w:rPr>
          <w:rFonts w:ascii="微软雅黑" w:hAnsi="微软雅黑" w:cs="微软雅黑"/>
          <w:i w:val="false"/>
          <w:strike w:val="false"/>
          <w:color w:val="323232"/>
          <w:spacing w:val="0"/>
          <w:sz w:val="28"/>
          <w:u w:val="none"/>
        </w:rPr>
        <w:t>学业成绩测评以前三年（四年制）或以前四年（五年制）所修课程平均学分绩点为依据，采用如下公式计算学业成绩测评分（用B表示）：</w:t>
      </w:r>
    </w:p>
    <w:p>
      <w:pPr>
        <w:snapToGrid/>
        <w:spacing w:before="300" w:after="600" w:line="432"/>
        <w:ind w:firstLine="640"/>
        <w:rPr/>
      </w:pPr>
      <w:r>
        <w:rPr>
          <w:rFonts w:ascii="微软雅黑" w:hAnsi="微软雅黑" w:cs="微软雅黑"/>
          <w:i w:val="false"/>
          <w:strike w:val="false"/>
          <w:color w:val="323232"/>
          <w:spacing w:val="0"/>
          <w:sz w:val="28"/>
          <w:u w:val="none"/>
        </w:rPr>
        <w:t>X="个人平均学分绩点/所属年级专业最高平均学分绩点×100</w:t>
      </w:r>
    </w:p>
    <w:p>
      <w:pPr>
        <w:snapToGrid/>
        <w:spacing w:before="300" w:after="600" w:line="432"/>
        <w:ind w:firstLine="640"/>
        <w:rPr/>
      </w:pPr>
      <w:r>
        <w:rPr>
          <w:rFonts w:ascii="微软雅黑" w:hAnsi="微软雅黑" w:cs="微软雅黑"/>
          <w:i w:val="false"/>
          <w:strike w:val="false"/>
          <w:color w:val="323232"/>
          <w:spacing w:val="0"/>
          <w:sz w:val="28"/>
          <w:u w:val="none"/>
        </w:rPr>
        <w:t xml:space="preserve">                                                         </w:t>
      </w:r>
      <w:r>
        <w:rPr>
          <w:rFonts w:ascii="微软雅黑" w:hAnsi="微软雅黑" w:cs="微软雅黑"/>
          <w:b/>
          <w:i w:val="false"/>
          <w:strike w:val="false"/>
          <w:color w:val="323232"/>
          <w:spacing w:val="0"/>
          <w:sz w:val="28"/>
          <w:u w:val="none"/>
        </w:rPr>
        <w:t xml:space="preserve">    附件2：建筑与艺术设计学院推免生科研素养加分细则</w:t>
      </w:r>
    </w:p>
    <w:p>
      <w:pPr>
        <w:snapToGrid/>
        <w:spacing w:before="300" w:after="600" w:line="432"/>
        <w:ind w:firstLine="640"/>
        <w:rPr/>
      </w:pPr>
      <w:r>
        <w:rPr>
          <w:rFonts w:ascii="微软雅黑" w:hAnsi="微软雅黑" w:cs="微软雅黑"/>
          <w:i w:val="false"/>
          <w:strike w:val="false"/>
          <w:color w:val="323232"/>
          <w:spacing w:val="0"/>
          <w:sz w:val="28"/>
          <w:u w:val="none"/>
        </w:rPr>
        <w:t>1、科研论文得分计分方法。</w:t>
      </w:r>
    </w:p>
    <w:p>
      <w:pPr>
        <w:snapToGrid/>
        <w:spacing w:before="300" w:after="600" w:line="432"/>
        <w:ind w:left="0" w:right="0" w:firstLine="640"/>
        <w:rPr/>
      </w:pPr>
    </w:p>
    <w:tbl>
      <w:tblPr>
        <w:tblStyle w:val="000015"/>
        <w:tblLayout w:type="fixed"/>
      </w:tblPr>
      <w:tblGrid>
        <w:gridCol w:w="675"/>
        <w:gridCol w:w="1395"/>
        <w:gridCol w:w="1110"/>
        <w:gridCol w:w="1260"/>
        <w:gridCol w:w="1110"/>
        <w:gridCol w:w="1140"/>
        <w:gridCol w:w="1155"/>
      </w:tblGrid>
      <w:tr>
        <w:trPr>
          <w:trHeight w:val="588"/>
        </w:trPr>
        <w:tc>
          <w:tcPr>
            <w:tcW w:w="67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刊物</w:t>
            </w:r>
          </w:p>
          <w:p>
            <w:pPr>
              <w:snapToGrid/>
              <w:spacing w:before="0" w:after="0" w:line="576"/>
              <w:ind/>
              <w:rPr/>
            </w:pPr>
            <w:r>
              <w:rPr>
                <w:rFonts w:ascii="微软雅黑" w:hAnsi="微软雅黑" w:cs="微软雅黑"/>
                <w:i w:val="false"/>
                <w:strike w:val="false"/>
                <w:color w:val="323232"/>
                <w:spacing w:val="0"/>
                <w:sz w:val="28"/>
                <w:u w:val="none"/>
                <w:vertAlign w:val="baseline"/>
              </w:rPr>
              <w:t>级别</w:t>
            </w:r>
          </w:p>
        </w:tc>
        <w:tc>
          <w:tcPr>
            <w:tcW w:w="139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学校认定的顶级期刊</w:t>
            </w:r>
          </w:p>
        </w:tc>
        <w:tc>
          <w:tcPr>
            <w:tcW w:w="111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学校认定的权威期刊</w:t>
            </w:r>
          </w:p>
        </w:tc>
        <w:tc>
          <w:tcPr>
            <w:tcW w:w="12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学校认定的重要期刊</w:t>
            </w:r>
          </w:p>
        </w:tc>
        <w:tc>
          <w:tcPr>
            <w:tcW w:w="111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学校认定的核心期刊</w:t>
            </w:r>
          </w:p>
        </w:tc>
        <w:tc>
          <w:tcPr>
            <w:tcW w:w="11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北大核心期刊</w:t>
            </w:r>
          </w:p>
        </w:tc>
        <w:tc>
          <w:tcPr>
            <w:tcW w:w="11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一般期刊、会议论文(有书号)</w:t>
            </w:r>
          </w:p>
        </w:tc>
      </w:tr>
      <w:tr>
        <w:trPr>
          <w:trHeight w:val="572"/>
        </w:trPr>
        <w:tc>
          <w:tcPr>
            <w:tcW w:w="67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每篇</w:t>
            </w:r>
          </w:p>
          <w:p>
            <w:pPr>
              <w:snapToGrid/>
              <w:spacing w:before="0" w:after="0" w:line="576"/>
              <w:ind/>
              <w:rPr/>
            </w:pPr>
            <w:r>
              <w:rPr>
                <w:rFonts w:ascii="微软雅黑" w:hAnsi="微软雅黑" w:cs="微软雅黑"/>
                <w:i w:val="false"/>
                <w:strike w:val="false"/>
                <w:color w:val="323232"/>
                <w:spacing w:val="0"/>
                <w:sz w:val="28"/>
                <w:u w:val="none"/>
                <w:vertAlign w:val="baseline"/>
              </w:rPr>
              <w:t>分值</w:t>
            </w:r>
          </w:p>
        </w:tc>
        <w:tc>
          <w:tcPr>
            <w:tcW w:w="139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60</w:t>
            </w:r>
          </w:p>
        </w:tc>
        <w:tc>
          <w:tcPr>
            <w:tcW w:w="111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20</w:t>
            </w:r>
          </w:p>
        </w:tc>
        <w:tc>
          <w:tcPr>
            <w:tcW w:w="12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20</w:t>
            </w:r>
          </w:p>
        </w:tc>
        <w:tc>
          <w:tcPr>
            <w:tcW w:w="111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10</w:t>
            </w:r>
          </w:p>
        </w:tc>
        <w:tc>
          <w:tcPr>
            <w:tcW w:w="11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6</w:t>
            </w:r>
          </w:p>
        </w:tc>
        <w:tc>
          <w:tcPr>
            <w:tcW w:w="11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3</w:t>
            </w:r>
          </w:p>
        </w:tc>
      </w:tr>
    </w:tbl>
    <w:p>
      <w:pPr>
        <w:snapToGrid/>
        <w:spacing w:before="300" w:after="600" w:line="432"/>
        <w:ind w:left="0" w:right="0" w:firstLine="640"/>
        <w:rPr/>
      </w:pPr>
    </w:p>
    <w:p>
      <w:pPr>
        <w:snapToGrid/>
        <w:spacing w:before="300" w:after="600" w:line="432"/>
        <w:ind w:firstLine="640"/>
        <w:rPr/>
      </w:pPr>
      <w:r>
        <w:rPr>
          <w:rFonts w:ascii="微软雅黑" w:hAnsi="微软雅黑" w:cs="微软雅黑"/>
          <w:i w:val="false"/>
          <w:strike w:val="false"/>
          <w:color w:val="323232"/>
          <w:spacing w:val="0"/>
          <w:sz w:val="28"/>
          <w:u w:val="none"/>
        </w:rPr>
        <w:t>注：（1）上述论文仅限于第一作者，且作者第一署名单位为湖南科技大学。</w:t>
      </w:r>
    </w:p>
    <w:p>
      <w:pPr>
        <w:snapToGrid/>
        <w:spacing w:before="300" w:after="600" w:line="432"/>
        <w:ind w:firstLine="640"/>
        <w:rPr/>
      </w:pPr>
      <w:r>
        <w:rPr>
          <w:rFonts w:ascii="微软雅黑" w:hAnsi="微软雅黑" w:cs="微软雅黑"/>
          <w:i w:val="false"/>
          <w:strike w:val="false"/>
          <w:color w:val="323232"/>
          <w:spacing w:val="0"/>
          <w:sz w:val="28"/>
          <w:u w:val="none"/>
        </w:rPr>
        <w:t>（2）论文及发表时间的认定以已发表论文原件为准（不含有录用通知）。</w:t>
      </w:r>
    </w:p>
    <w:p>
      <w:pPr>
        <w:snapToGrid/>
        <w:spacing w:before="300" w:after="600" w:line="432"/>
        <w:ind w:firstLine="640"/>
        <w:rPr/>
      </w:pPr>
      <w:r>
        <w:rPr>
          <w:rFonts w:ascii="微软雅黑" w:hAnsi="微软雅黑" w:cs="微软雅黑"/>
          <w:i w:val="false"/>
          <w:strike w:val="false"/>
          <w:color w:val="323232"/>
          <w:spacing w:val="0"/>
          <w:sz w:val="28"/>
          <w:u w:val="none"/>
        </w:rPr>
        <w:t>（3）论文内容应与所学专业与方向一致。</w:t>
      </w:r>
    </w:p>
    <w:p>
      <w:pPr>
        <w:snapToGrid/>
        <w:spacing w:before="300" w:after="600" w:line="432"/>
        <w:ind w:firstLine="640"/>
        <w:rPr/>
      </w:pPr>
      <w:r>
        <w:rPr>
          <w:rFonts w:ascii="微软雅黑" w:hAnsi="微软雅黑" w:cs="微软雅黑"/>
          <w:i w:val="false"/>
          <w:strike w:val="false"/>
          <w:color w:val="323232"/>
          <w:spacing w:val="0"/>
          <w:sz w:val="28"/>
          <w:u w:val="none"/>
        </w:rPr>
        <w:t>（4）不含增刊、专刊、专辑、内刊等。</w:t>
      </w:r>
    </w:p>
    <w:p>
      <w:pPr>
        <w:snapToGrid/>
        <w:spacing w:before="300" w:after="600" w:line="432"/>
        <w:ind w:firstLine="640"/>
        <w:rPr/>
      </w:pPr>
      <w:r>
        <w:rPr>
          <w:rFonts w:ascii="微软雅黑" w:hAnsi="微软雅黑" w:cs="微软雅黑"/>
          <w:i w:val="false"/>
          <w:strike w:val="false"/>
          <w:color w:val="323232"/>
          <w:spacing w:val="0"/>
          <w:sz w:val="28"/>
          <w:u w:val="none"/>
        </w:rPr>
        <w:t>（5）期刊上发表的本学科专业作品（独立版面），按在相应级别论文的1/2计分，且在同刊物同一期上所发作品均以1篇（幅）计算。</w:t>
      </w:r>
    </w:p>
    <w:p>
      <w:pPr>
        <w:snapToGrid/>
        <w:spacing w:before="300" w:after="600" w:line="432"/>
        <w:ind w:firstLine="640"/>
        <w:rPr/>
      </w:pPr>
      <w:r>
        <w:rPr>
          <w:rFonts w:ascii="微软雅黑" w:hAnsi="微软雅黑" w:cs="微软雅黑"/>
          <w:i w:val="false"/>
          <w:strike w:val="false"/>
          <w:color w:val="323232"/>
          <w:spacing w:val="0"/>
          <w:sz w:val="28"/>
          <w:u w:val="none"/>
        </w:rPr>
        <w:t>2、专著计分办法。</w:t>
      </w:r>
    </w:p>
    <w:tbl>
      <w:tblPr>
        <w:tblStyle w:val="000015"/>
        <w:tblLayout w:type="fixed"/>
      </w:tblPr>
      <w:tblGrid>
        <w:gridCol w:w="2040"/>
        <w:gridCol w:w="3030"/>
        <w:gridCol w:w="2325"/>
      </w:tblGrid>
      <w:tr>
        <w:trPr/>
        <w:tc>
          <w:tcPr>
            <w:tcW w:w="20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级别</w:t>
            </w:r>
          </w:p>
          <w:p>
            <w:pPr>
              <w:snapToGrid/>
              <w:spacing w:before="0" w:after="0" w:line="576"/>
              <w:ind/>
              <w:rPr/>
            </w:pPr>
            <w:r>
              <w:rPr>
                <w:rFonts w:ascii="微软雅黑" w:hAnsi="微软雅黑" w:cs="微软雅黑"/>
                <w:i w:val="false"/>
                <w:strike w:val="false"/>
                <w:color w:val="323232"/>
                <w:spacing w:val="0"/>
                <w:sz w:val="28"/>
                <w:u w:val="none"/>
                <w:vertAlign w:val="baseline"/>
              </w:rPr>
              <w:t>完成情况</w:t>
            </w:r>
          </w:p>
        </w:tc>
        <w:tc>
          <w:tcPr>
            <w:tcW w:w="303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学术著作、作品集、</w:t>
            </w:r>
          </w:p>
          <w:p>
            <w:pPr>
              <w:snapToGrid/>
              <w:spacing w:before="0" w:after="0" w:line="576"/>
              <w:ind/>
              <w:rPr/>
            </w:pPr>
            <w:r>
              <w:rPr>
                <w:rFonts w:ascii="微软雅黑" w:hAnsi="微软雅黑" w:cs="微软雅黑"/>
                <w:i w:val="false"/>
                <w:strike w:val="false"/>
                <w:color w:val="323232"/>
                <w:spacing w:val="0"/>
                <w:sz w:val="28"/>
                <w:u w:val="none"/>
                <w:vertAlign w:val="baseline"/>
              </w:rPr>
              <w:t>各类专辑（集）等</w:t>
            </w:r>
          </w:p>
        </w:tc>
        <w:tc>
          <w:tcPr>
            <w:tcW w:w="232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教材、译著、编著等</w:t>
            </w:r>
          </w:p>
        </w:tc>
      </w:tr>
      <w:tr>
        <w:trPr/>
        <w:tc>
          <w:tcPr>
            <w:tcW w:w="20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独立完成</w:t>
            </w:r>
          </w:p>
        </w:tc>
        <w:tc>
          <w:tcPr>
            <w:tcW w:w="303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20</w:t>
            </w:r>
          </w:p>
        </w:tc>
        <w:tc>
          <w:tcPr>
            <w:tcW w:w="232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10</w:t>
            </w:r>
          </w:p>
        </w:tc>
      </w:tr>
      <w:tr>
        <w:trPr/>
        <w:tc>
          <w:tcPr>
            <w:tcW w:w="20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合作完成第一作者</w:t>
            </w:r>
          </w:p>
        </w:tc>
        <w:tc>
          <w:tcPr>
            <w:tcW w:w="303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10</w:t>
            </w:r>
          </w:p>
        </w:tc>
        <w:tc>
          <w:tcPr>
            <w:tcW w:w="232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5</w:t>
            </w:r>
          </w:p>
        </w:tc>
      </w:tr>
    </w:tbl>
    <w:p>
      <w:pPr>
        <w:snapToGrid/>
        <w:spacing w:before="300" w:after="600" w:line="432"/>
        <w:ind w:firstLine="640"/>
        <w:rPr/>
      </w:pPr>
      <w:r>
        <w:rPr>
          <w:rFonts w:ascii="微软雅黑" w:hAnsi="微软雅黑" w:cs="微软雅黑"/>
          <w:i w:val="false"/>
          <w:strike w:val="false"/>
          <w:color w:val="323232"/>
          <w:spacing w:val="0"/>
          <w:sz w:val="28"/>
          <w:u w:val="none"/>
        </w:rPr>
        <w:t>注：1、著作必须与专业方向相关。2、合作完成只计算第一作者。</w:t>
      </w:r>
    </w:p>
    <w:p>
      <w:pPr>
        <w:snapToGrid/>
        <w:spacing w:before="300" w:after="600" w:line="432"/>
        <w:ind w:firstLine="640"/>
        <w:rPr/>
      </w:pPr>
      <w:r>
        <w:rPr>
          <w:rFonts w:ascii="微软雅黑" w:hAnsi="微软雅黑" w:cs="微软雅黑"/>
          <w:i w:val="false"/>
          <w:strike w:val="false"/>
          <w:color w:val="323232"/>
          <w:spacing w:val="0"/>
          <w:sz w:val="28"/>
          <w:u w:val="none"/>
        </w:rPr>
        <w:t>3、大学生研究性学习与创新性实验、创新创业计划项目计分办法。</w:t>
      </w:r>
    </w:p>
    <w:p>
      <w:pPr>
        <w:snapToGrid/>
        <w:spacing w:before="300" w:after="600" w:line="432"/>
        <w:ind w:left="0" w:right="0" w:firstLine="640"/>
        <w:rPr/>
      </w:pPr>
    </w:p>
    <w:tbl>
      <w:tblPr>
        <w:tblStyle w:val="000015"/>
        <w:tblLayout w:type="fixed"/>
      </w:tblPr>
      <w:tblGrid>
        <w:gridCol w:w="690"/>
        <w:gridCol w:w="1230"/>
        <w:gridCol w:w="1260"/>
        <w:gridCol w:w="1140"/>
        <w:gridCol w:w="1770"/>
        <w:gridCol w:w="1875"/>
      </w:tblGrid>
      <w:tr>
        <w:trPr>
          <w:trHeight w:val="873"/>
        </w:trPr>
        <w:tc>
          <w:tcPr>
            <w:tcW w:w="69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项目</w:t>
            </w:r>
          </w:p>
          <w:p>
            <w:pPr>
              <w:snapToGrid/>
              <w:spacing w:before="0" w:after="0" w:line="576"/>
              <w:ind/>
              <w:rPr/>
            </w:pPr>
            <w:r>
              <w:rPr>
                <w:rFonts w:ascii="微软雅黑" w:hAnsi="微软雅黑" w:cs="微软雅黑"/>
                <w:i w:val="false"/>
                <w:strike w:val="false"/>
                <w:color w:val="323232"/>
                <w:spacing w:val="0"/>
                <w:sz w:val="28"/>
                <w:u w:val="none"/>
                <w:vertAlign w:val="baseline"/>
              </w:rPr>
              <w:t>类别</w:t>
            </w:r>
          </w:p>
        </w:tc>
        <w:tc>
          <w:tcPr>
            <w:tcW w:w="123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国家级项目主持人</w:t>
            </w:r>
          </w:p>
        </w:tc>
        <w:tc>
          <w:tcPr>
            <w:tcW w:w="12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省级项目</w:t>
            </w:r>
          </w:p>
          <w:p>
            <w:pPr>
              <w:snapToGrid/>
              <w:spacing w:before="0" w:after="0" w:line="576"/>
              <w:ind/>
              <w:rPr/>
            </w:pPr>
            <w:r>
              <w:rPr>
                <w:rFonts w:ascii="微软雅黑" w:hAnsi="微软雅黑" w:cs="微软雅黑"/>
                <w:i w:val="false"/>
                <w:strike w:val="false"/>
                <w:color w:val="323232"/>
                <w:spacing w:val="0"/>
                <w:sz w:val="28"/>
                <w:u w:val="none"/>
                <w:vertAlign w:val="baseline"/>
              </w:rPr>
              <w:t>主持人</w:t>
            </w:r>
          </w:p>
        </w:tc>
        <w:tc>
          <w:tcPr>
            <w:tcW w:w="11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校级项目</w:t>
            </w:r>
          </w:p>
          <w:p>
            <w:pPr>
              <w:snapToGrid/>
              <w:spacing w:before="0" w:after="0" w:line="576"/>
              <w:ind/>
              <w:rPr/>
            </w:pPr>
            <w:r>
              <w:rPr>
                <w:rFonts w:ascii="微软雅黑" w:hAnsi="微软雅黑" w:cs="微软雅黑"/>
                <w:i w:val="false"/>
                <w:strike w:val="false"/>
                <w:color w:val="323232"/>
                <w:spacing w:val="0"/>
                <w:sz w:val="28"/>
                <w:u w:val="none"/>
                <w:vertAlign w:val="baseline"/>
              </w:rPr>
              <w:t>主持人</w:t>
            </w:r>
          </w:p>
        </w:tc>
        <w:tc>
          <w:tcPr>
            <w:tcW w:w="177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国家级项目（限署名排序前四名者）</w:t>
            </w:r>
          </w:p>
        </w:tc>
        <w:tc>
          <w:tcPr>
            <w:tcW w:w="187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省级项目（限署名排序前三名者）</w:t>
            </w:r>
          </w:p>
        </w:tc>
      </w:tr>
      <w:tr>
        <w:trPr>
          <w:trHeight w:val="577"/>
        </w:trPr>
        <w:tc>
          <w:tcPr>
            <w:tcW w:w="69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立项</w:t>
            </w:r>
          </w:p>
        </w:tc>
        <w:tc>
          <w:tcPr>
            <w:tcW w:w="123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10</w:t>
            </w:r>
          </w:p>
        </w:tc>
        <w:tc>
          <w:tcPr>
            <w:tcW w:w="12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5</w:t>
            </w:r>
          </w:p>
        </w:tc>
        <w:tc>
          <w:tcPr>
            <w:tcW w:w="11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3</w:t>
            </w:r>
          </w:p>
        </w:tc>
        <w:tc>
          <w:tcPr>
            <w:tcW w:w="177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2</w:t>
            </w:r>
          </w:p>
        </w:tc>
        <w:tc>
          <w:tcPr>
            <w:tcW w:w="187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1</w:t>
            </w:r>
          </w:p>
        </w:tc>
      </w:tr>
      <w:tr>
        <w:trPr>
          <w:trHeight w:val="577"/>
        </w:trPr>
        <w:tc>
          <w:tcPr>
            <w:tcW w:w="69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结项</w:t>
            </w:r>
          </w:p>
        </w:tc>
        <w:tc>
          <w:tcPr>
            <w:tcW w:w="123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10</w:t>
            </w:r>
          </w:p>
        </w:tc>
        <w:tc>
          <w:tcPr>
            <w:tcW w:w="12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5</w:t>
            </w:r>
          </w:p>
        </w:tc>
        <w:tc>
          <w:tcPr>
            <w:tcW w:w="11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3</w:t>
            </w:r>
          </w:p>
        </w:tc>
        <w:tc>
          <w:tcPr>
            <w:tcW w:w="177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2</w:t>
            </w:r>
          </w:p>
        </w:tc>
        <w:tc>
          <w:tcPr>
            <w:tcW w:w="187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1</w:t>
            </w:r>
          </w:p>
        </w:tc>
      </w:tr>
    </w:tbl>
    <w:p>
      <w:pPr>
        <w:snapToGrid/>
        <w:spacing w:before="300" w:after="600" w:line="432"/>
        <w:ind w:left="0" w:right="0" w:firstLine="640"/>
        <w:rPr/>
      </w:pPr>
    </w:p>
    <w:p>
      <w:pPr>
        <w:snapToGrid/>
        <w:spacing w:before="300" w:after="600" w:line="432"/>
        <w:ind w:firstLine="640"/>
        <w:rPr/>
      </w:pPr>
      <w:r>
        <w:rPr>
          <w:rFonts w:ascii="微软雅黑" w:hAnsi="微软雅黑" w:cs="微软雅黑"/>
          <w:i w:val="false"/>
          <w:strike w:val="false"/>
          <w:color w:val="323232"/>
          <w:spacing w:val="0"/>
          <w:sz w:val="28"/>
          <w:u w:val="none"/>
        </w:rPr>
        <w:t>4、学科专业及科技竞赛获奖计分办法。</w:t>
      </w:r>
    </w:p>
    <w:tbl>
      <w:tblPr>
        <w:tblStyle w:val="000015"/>
        <w:tblLayout w:type="fixed"/>
      </w:tblPr>
      <w:tblGrid>
        <w:gridCol w:w="1905"/>
        <w:gridCol w:w="1905"/>
        <w:gridCol w:w="2040"/>
        <w:gridCol w:w="1335"/>
      </w:tblGrid>
      <w:tr>
        <w:trPr>
          <w:trHeight w:val="447"/>
        </w:trPr>
        <w:tc>
          <w:tcPr>
            <w:tcW w:w="190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级别</w:t>
            </w:r>
          </w:p>
          <w:p>
            <w:pPr>
              <w:snapToGrid/>
              <w:spacing w:before="0" w:after="0" w:line="576"/>
              <w:ind/>
              <w:rPr/>
            </w:pPr>
            <w:r>
              <w:rPr>
                <w:rFonts w:ascii="微软雅黑" w:hAnsi="微软雅黑" w:cs="微软雅黑"/>
                <w:i w:val="false"/>
                <w:strike w:val="false"/>
                <w:color w:val="323232"/>
                <w:spacing w:val="0"/>
                <w:sz w:val="28"/>
                <w:u w:val="none"/>
                <w:vertAlign w:val="baseline"/>
              </w:rPr>
              <w:t>获奖等次</w:t>
            </w:r>
          </w:p>
        </w:tc>
        <w:tc>
          <w:tcPr>
            <w:tcW w:w="190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A类</w:t>
            </w:r>
          </w:p>
        </w:tc>
        <w:tc>
          <w:tcPr>
            <w:tcW w:w="20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B类</w:t>
            </w:r>
          </w:p>
        </w:tc>
        <w:tc>
          <w:tcPr>
            <w:tcW w:w="133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C类</w:t>
            </w:r>
          </w:p>
        </w:tc>
      </w:tr>
      <w:tr>
        <w:trPr/>
        <w:tc>
          <w:tcPr>
            <w:tcW w:w="190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特等奖</w:t>
            </w:r>
          </w:p>
        </w:tc>
        <w:tc>
          <w:tcPr>
            <w:tcW w:w="190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40</w:t>
            </w:r>
          </w:p>
        </w:tc>
        <w:tc>
          <w:tcPr>
            <w:tcW w:w="20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15</w:t>
            </w:r>
          </w:p>
        </w:tc>
        <w:tc>
          <w:tcPr>
            <w:tcW w:w="133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4</w:t>
            </w:r>
          </w:p>
        </w:tc>
      </w:tr>
      <w:tr>
        <w:trPr/>
        <w:tc>
          <w:tcPr>
            <w:tcW w:w="190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一等奖</w:t>
            </w:r>
          </w:p>
        </w:tc>
        <w:tc>
          <w:tcPr>
            <w:tcW w:w="190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30</w:t>
            </w:r>
          </w:p>
        </w:tc>
        <w:tc>
          <w:tcPr>
            <w:tcW w:w="20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10</w:t>
            </w:r>
          </w:p>
        </w:tc>
        <w:tc>
          <w:tcPr>
            <w:tcW w:w="133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3</w:t>
            </w:r>
          </w:p>
        </w:tc>
      </w:tr>
      <w:tr>
        <w:trPr/>
        <w:tc>
          <w:tcPr>
            <w:tcW w:w="190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二等奖</w:t>
            </w:r>
          </w:p>
        </w:tc>
        <w:tc>
          <w:tcPr>
            <w:tcW w:w="190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20</w:t>
            </w:r>
          </w:p>
        </w:tc>
        <w:tc>
          <w:tcPr>
            <w:tcW w:w="20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8</w:t>
            </w:r>
          </w:p>
        </w:tc>
        <w:tc>
          <w:tcPr>
            <w:tcW w:w="133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2</w:t>
            </w:r>
          </w:p>
        </w:tc>
      </w:tr>
      <w:tr>
        <w:trPr/>
        <w:tc>
          <w:tcPr>
            <w:tcW w:w="190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三等奖</w:t>
            </w:r>
          </w:p>
        </w:tc>
        <w:tc>
          <w:tcPr>
            <w:tcW w:w="190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10</w:t>
            </w:r>
          </w:p>
        </w:tc>
        <w:tc>
          <w:tcPr>
            <w:tcW w:w="20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4</w:t>
            </w:r>
          </w:p>
        </w:tc>
        <w:tc>
          <w:tcPr>
            <w:tcW w:w="133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top"/>
          </w:tcPr>
          <w:p>
            <w:pPr>
              <w:snapToGrid/>
              <w:spacing w:before="0" w:after="0" w:line="576"/>
              <w:ind/>
              <w:rPr/>
            </w:pPr>
            <w:r>
              <w:rPr>
                <w:rFonts w:ascii="微软雅黑" w:hAnsi="微软雅黑" w:cs="微软雅黑"/>
                <w:i w:val="false"/>
                <w:strike w:val="false"/>
                <w:color w:val="323232"/>
                <w:spacing w:val="0"/>
                <w:sz w:val="28"/>
                <w:u w:val="none"/>
                <w:vertAlign w:val="baseline"/>
              </w:rPr>
              <w:t>1</w:t>
            </w:r>
          </w:p>
        </w:tc>
      </w:tr>
    </w:tbl>
    <w:p>
      <w:pPr>
        <w:snapToGrid/>
        <w:spacing w:before="300" w:after="600" w:line="432"/>
        <w:ind w:firstLine="640"/>
        <w:rPr/>
      </w:pPr>
      <w:r>
        <w:rPr>
          <w:rFonts w:ascii="微软雅黑" w:hAnsi="微软雅黑" w:cs="微软雅黑"/>
          <w:i w:val="false"/>
          <w:strike w:val="false"/>
          <w:color w:val="323232"/>
          <w:spacing w:val="0"/>
          <w:sz w:val="28"/>
          <w:u w:val="none"/>
        </w:rPr>
        <w:t>注：①竞赛级别设定参照《建筑与艺术设计学院支持大学生学科竞赛实施方案》；②金、银、铜奖原则上等同于一、二、三等奖；③上述获奖仅限于第一完成人；④其他未能确定的奖项或加分争议，由推免小组根据实际情况酌定。</w:t>
      </w:r>
    </w:p>
    <w:p>
      <w:pPr>
        <w:snapToGrid/>
        <w:spacing w:before="300" w:after="600" w:line="432"/>
        <w:ind w:firstLine="640"/>
        <w:rPr/>
      </w:pPr>
      <w:r>
        <w:rPr>
          <w:rFonts w:ascii="微软雅黑" w:hAnsi="微软雅黑" w:cs="微软雅黑"/>
          <w:i w:val="false"/>
          <w:strike w:val="false"/>
          <w:color w:val="323232"/>
          <w:spacing w:val="0"/>
          <w:sz w:val="28"/>
          <w:u w:val="none"/>
        </w:rPr>
        <w:t>5、学术类奖励计分办法。</w:t>
      </w:r>
    </w:p>
    <w:p>
      <w:pPr>
        <w:snapToGrid/>
        <w:spacing w:before="300" w:after="600" w:line="432"/>
        <w:ind w:left="0" w:right="0" w:firstLine="640"/>
        <w:rPr/>
      </w:pPr>
    </w:p>
    <w:tbl>
      <w:tblPr>
        <w:tblStyle w:val="000015"/>
        <w:tblLayout w:type="fixed"/>
      </w:tblPr>
      <w:tblGrid>
        <w:gridCol w:w="1665"/>
        <w:gridCol w:w="1455"/>
        <w:gridCol w:w="1875"/>
        <w:gridCol w:w="1485"/>
        <w:gridCol w:w="705"/>
      </w:tblGrid>
      <w:tr>
        <w:trPr>
          <w:trHeight w:val="524"/>
        </w:trPr>
        <w:tc>
          <w:tcPr>
            <w:tcW w:w="166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国家专利</w:t>
            </w:r>
          </w:p>
        </w:tc>
        <w:tc>
          <w:tcPr>
            <w:tcW w:w="14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发明专利，40分</w:t>
            </w:r>
          </w:p>
        </w:tc>
        <w:tc>
          <w:tcPr>
            <w:tcW w:w="187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实用新型专利，8分</w:t>
            </w:r>
          </w:p>
        </w:tc>
        <w:tc>
          <w:tcPr>
            <w:tcW w:w="148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外观专利，4分</w:t>
            </w:r>
          </w:p>
        </w:tc>
        <w:tc>
          <w:tcPr>
            <w:tcW w:w="70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w:t>
            </w:r>
          </w:p>
        </w:tc>
      </w:tr>
      <w:tr>
        <w:trPr>
          <w:trHeight w:val="524"/>
        </w:trPr>
        <w:tc>
          <w:tcPr>
            <w:tcW w:w="166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资格认证（行业技能）</w:t>
            </w:r>
          </w:p>
        </w:tc>
        <w:tc>
          <w:tcPr>
            <w:tcW w:w="145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国家级（国际）行业机构认证，10分</w:t>
            </w:r>
          </w:p>
        </w:tc>
        <w:tc>
          <w:tcPr>
            <w:tcW w:w="187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省级以上行业机构认证，5分</w:t>
            </w:r>
          </w:p>
        </w:tc>
        <w:tc>
          <w:tcPr>
            <w:tcW w:w="148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w:t>
            </w:r>
          </w:p>
        </w:tc>
        <w:tc>
          <w:tcPr>
            <w:tcW w:w="70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576"/>
              <w:ind/>
              <w:rPr/>
            </w:pPr>
            <w:r>
              <w:rPr>
                <w:rFonts w:ascii="微软雅黑" w:hAnsi="微软雅黑" w:cs="微软雅黑"/>
                <w:i w:val="false"/>
                <w:strike w:val="false"/>
                <w:color w:val="323232"/>
                <w:spacing w:val="0"/>
                <w:sz w:val="28"/>
                <w:u w:val="none"/>
                <w:vertAlign w:val="baseline"/>
              </w:rPr>
              <w:t>——</w:t>
            </w:r>
          </w:p>
        </w:tc>
      </w:tr>
    </w:tbl>
    <w:p>
      <w:pPr>
        <w:pBdr/>
        <w:ind/>
        <w:rPr/>
      </w:pPr>
    </w:p>
    <w:p>
      <w:pPr>
        <w:pBdr/>
        <w:ind/>
        <w:rPr/>
      </w:pPr>
    </w:p>
    <w:p>
      <w:pPr>
        <w:pStyle w:val="000003"/>
        <w:snapToGrid/>
        <w:spacing w:before="300" w:after="0" w:line="240"/>
        <w:ind w:left="0" w:right="0" w:hanging="0"/>
        <w:jc w:val="center"/>
        <w:rPr/>
      </w:pPr>
      <w:r>
        <w:rPr>
          <w:b/>
          <w:i w:val="false"/>
          <w:strike w:val="false"/>
          <w:color w:val="002866"/>
          <w:spacing w:val="0"/>
          <w:sz w:val="33"/>
          <w:u w:val="none"/>
        </w:rPr>
        <w:t>人文学院推荐优秀应届本科毕业生免试攻读硕士学位研究生工作细则</w:t>
      </w:r>
    </w:p>
    <w:p>
      <w:pPr>
        <w:snapToGrid/>
        <w:spacing w:before="150" w:after="150" w:line="514"/>
        <w:ind/>
        <w:jc w:val="center"/>
        <w:rPr/>
      </w:pPr>
      <w:r>
        <w:rPr>
          <w:i w:val="false"/>
          <w:strike w:val="false"/>
          <w:color w:val="787878"/>
          <w:spacing w:val="0"/>
          <w:sz w:val="38"/>
          <w:u w:val="none"/>
          <w:shd w:val="clear" w:color="auto" w:fill="F5F5F5"/>
        </w:rPr>
        <w:t>时间：2024-12-29 12:00:00 访问量：55</w:t>
      </w:r>
    </w:p>
    <w:p>
      <w:pPr>
        <w:snapToGrid/>
        <w:spacing w:line="240"/>
        <w:ind w:hanging="0"/>
        <w:jc w:val="left"/>
        <w:rPr/>
      </w:pPr>
      <w:r>
        <w:rPr>
          <w:rFonts w:ascii="仿宋" w:hAnsi="仿宋" w:eastAsia="仿宋" w:cs="仿宋"/>
          <w:i w:val="false"/>
          <w:strike w:val="false"/>
          <w:color w:val="323232"/>
          <w:spacing w:val="0"/>
          <w:sz w:val="24"/>
          <w:u w:val="none"/>
        </w:rPr>
        <w:t xml:space="preserve">    为做好推荐优秀应届本科毕业生免试攻读硕士学位研究生工作，根据《全国普通高等学校推荐优秀应届本科毕业生免试攻读硕士学位研究生工作管理办法（试行）》《教育部办公厅关于进一步规范和加强推荐优秀应届本科毕业生免试攻读研究生工作的通知》、《关于印发&lt;湖南科技大学推荐优秀应届本科毕业生免试攻读硕士学位研究生工作实施办法（修订）&gt;的通知》（科大政发〔2024〕64号）等文件精神，结合我院实际，特制定本工作细则。</w:t>
      </w:r>
    </w:p>
    <w:p>
      <w:pPr>
        <w:snapToGrid/>
        <w:spacing w:before="150" w:after="0" w:line="240"/>
        <w:ind w:left="0" w:right="0" w:hanging="0"/>
        <w:rPr/>
      </w:pPr>
      <w:r>
        <w:rPr>
          <w:rFonts w:ascii="楷体_gb2312" w:hAnsi="楷体_gb2312" w:cs="楷体_gb2312"/>
          <w:b/>
          <w:i w:val="false"/>
          <w:strike w:val="false"/>
          <w:color w:val="323232"/>
          <w:spacing w:val="0"/>
          <w:sz w:val="29"/>
          <w:u w:val="none"/>
        </w:rPr>
        <w:t>一、工作原则</w:t>
      </w:r>
    </w:p>
    <w:p>
      <w:pPr>
        <w:snapToGrid/>
        <w:spacing w:line="240"/>
        <w:ind w:firstLine="480"/>
        <w:rPr/>
      </w:pPr>
      <w:r>
        <w:rPr>
          <w:rFonts w:ascii="仿宋" w:hAnsi="仿宋" w:eastAsia="仿宋" w:cs="仿宋"/>
          <w:i w:val="false"/>
          <w:strike w:val="false"/>
          <w:color w:val="323232"/>
          <w:spacing w:val="0"/>
          <w:sz w:val="24"/>
          <w:u w:val="none"/>
        </w:rPr>
        <w:t>1．公开、公平、公正的原则： 建立健全推免工作机制，及时发布相关信息，做到程序透明、操作规范、结果公开。</w:t>
      </w:r>
    </w:p>
    <w:p>
      <w:pPr>
        <w:snapToGrid/>
        <w:spacing w:line="240"/>
        <w:ind w:firstLine="480"/>
        <w:rPr/>
      </w:pPr>
      <w:r>
        <w:rPr>
          <w:rFonts w:ascii="仿宋" w:hAnsi="仿宋" w:eastAsia="仿宋" w:cs="仿宋"/>
          <w:i w:val="false"/>
          <w:strike w:val="false"/>
          <w:color w:val="323232"/>
          <w:spacing w:val="0"/>
          <w:sz w:val="24"/>
          <w:u w:val="none"/>
        </w:rPr>
        <w:t>2．全面考核的原则：以学生学业成绩为主要依据，结合考虑科研能力、创新精神、创新能力及专业能力倾向等综合素质，在德、智、体、美、劳全面衡量的基础上进行综合测评，择优选拔。</w:t>
      </w:r>
    </w:p>
    <w:p>
      <w:pPr>
        <w:snapToGrid/>
        <w:spacing w:before="150" w:after="0" w:line="240"/>
        <w:ind w:left="0" w:right="0" w:hanging="0"/>
        <w:rPr/>
      </w:pPr>
      <w:r>
        <w:rPr>
          <w:rFonts w:ascii="楷体_gb2312" w:hAnsi="楷体_gb2312" w:cs="楷体_gb2312"/>
          <w:b/>
          <w:i w:val="false"/>
          <w:strike w:val="false"/>
          <w:color w:val="323232"/>
          <w:spacing w:val="0"/>
          <w:sz w:val="29"/>
          <w:u w:val="none"/>
        </w:rPr>
        <w:t>二、推免类型与名额分配办法</w:t>
      </w:r>
    </w:p>
    <w:p>
      <w:pPr>
        <w:snapToGrid/>
        <w:spacing w:line="240"/>
        <w:ind w:firstLine="480"/>
        <w:rPr/>
      </w:pPr>
      <w:r>
        <w:rPr>
          <w:rFonts w:ascii="仿宋" w:hAnsi="仿宋" w:eastAsia="仿宋" w:cs="仿宋"/>
          <w:i w:val="false"/>
          <w:strike w:val="false"/>
          <w:color w:val="323232"/>
          <w:spacing w:val="0"/>
          <w:sz w:val="24"/>
          <w:u w:val="none"/>
        </w:rPr>
        <w:t>1．推免工作包括“优秀应届本科毕业生免试攻读硕士学位”及“农村学校教育硕士师资培养计划”两大类型。</w:t>
      </w:r>
    </w:p>
    <w:p>
      <w:pPr>
        <w:snapToGrid/>
        <w:spacing w:line="240"/>
        <w:ind w:firstLine="480"/>
        <w:rPr/>
      </w:pPr>
      <w:r>
        <w:rPr>
          <w:rFonts w:ascii="仿宋" w:hAnsi="仿宋" w:eastAsia="仿宋" w:cs="仿宋"/>
          <w:i w:val="false"/>
          <w:strike w:val="false"/>
          <w:color w:val="323232"/>
          <w:spacing w:val="0"/>
          <w:sz w:val="24"/>
          <w:u w:val="none"/>
        </w:rPr>
        <w:t>2．学校下达的学术型推免生名额保留在学院，学院推免工作小组对当年度符合条件、报名参加推免的学生按照综合成绩从高到低进行排名，同时按其专业排名，统筹兼顾，择优选拔，确定推荐人选。各专业拟推荐名额：该专业应届学生人数/学院应届学生总人数*学院拟推荐名额总数（四舍五入），不足1人的专业可以推荐1人，如有剩余名额，按综合成绩择优推荐。</w:t>
      </w:r>
    </w:p>
    <w:p>
      <w:pPr>
        <w:snapToGrid/>
        <w:spacing w:line="240"/>
        <w:ind w:firstLine="480"/>
        <w:rPr/>
      </w:pPr>
      <w:r>
        <w:rPr>
          <w:rFonts w:ascii="仿宋" w:hAnsi="仿宋" w:eastAsia="仿宋" w:cs="仿宋"/>
          <w:i w:val="false"/>
          <w:strike w:val="false"/>
          <w:color w:val="323232"/>
          <w:spacing w:val="0"/>
          <w:sz w:val="24"/>
          <w:u w:val="none"/>
        </w:rPr>
        <w:t>3．“农村学校教育硕士师资培养计划”（以下简称“硕师计划”）的名额根据当年上级教育行政部门及学校下达的计划指标直接分配至相应专业。</w:t>
      </w:r>
    </w:p>
    <w:p>
      <w:pPr>
        <w:snapToGrid/>
        <w:spacing w:before="150" w:after="0" w:line="240"/>
        <w:ind w:left="0" w:right="0" w:hanging="0"/>
        <w:rPr/>
      </w:pPr>
      <w:r>
        <w:rPr>
          <w:rFonts w:ascii="楷体_gb2312" w:hAnsi="楷体_gb2312" w:cs="楷体_gb2312"/>
          <w:b/>
          <w:i w:val="false"/>
          <w:strike w:val="false"/>
          <w:color w:val="323232"/>
          <w:spacing w:val="0"/>
          <w:sz w:val="29"/>
          <w:u w:val="none"/>
        </w:rPr>
        <w:t>三、推免条件</w:t>
      </w:r>
    </w:p>
    <w:p>
      <w:pPr>
        <w:snapToGrid/>
        <w:spacing w:line="240"/>
        <w:ind w:firstLine="480"/>
        <w:rPr/>
      </w:pPr>
      <w:r>
        <w:rPr>
          <w:rFonts w:ascii="仿宋" w:hAnsi="仿宋" w:eastAsia="仿宋" w:cs="仿宋"/>
          <w:i w:val="false"/>
          <w:strike w:val="false"/>
          <w:color w:val="323232"/>
          <w:spacing w:val="0"/>
          <w:sz w:val="24"/>
          <w:u w:val="none"/>
        </w:rPr>
        <w:t>1．推免生从具备下列基本条件的学生中推荐（不含独立学院学生）：</w:t>
      </w:r>
    </w:p>
    <w:p>
      <w:pPr>
        <w:snapToGrid/>
        <w:spacing w:line="240"/>
        <w:ind w:firstLine="480"/>
        <w:rPr/>
      </w:pPr>
      <w:r>
        <w:rPr>
          <w:rFonts w:ascii="仿宋" w:hAnsi="仿宋" w:eastAsia="仿宋" w:cs="仿宋"/>
          <w:i w:val="false"/>
          <w:strike w:val="false"/>
          <w:color w:val="323232"/>
          <w:spacing w:val="0"/>
          <w:sz w:val="24"/>
          <w:u w:val="none"/>
        </w:rPr>
        <w:t>（1）纳入国家普通本科招生计划录取的应届毕业生；</w:t>
      </w:r>
    </w:p>
    <w:p>
      <w:pPr>
        <w:snapToGrid/>
        <w:spacing w:line="240"/>
        <w:ind w:firstLine="480"/>
        <w:rPr/>
      </w:pPr>
      <w:r>
        <w:rPr>
          <w:rFonts w:ascii="仿宋" w:hAnsi="仿宋" w:eastAsia="仿宋" w:cs="仿宋"/>
          <w:i w:val="false"/>
          <w:strike w:val="false"/>
          <w:color w:val="323232"/>
          <w:spacing w:val="0"/>
          <w:sz w:val="24"/>
          <w:u w:val="none"/>
        </w:rPr>
        <w:t>（2）具有高尚的爱国主义情操和集体主义精神，社会主义信念坚定，社会责任感强，遵纪守法，积极向上，身心健康；</w:t>
      </w:r>
    </w:p>
    <w:p>
      <w:pPr>
        <w:snapToGrid/>
        <w:spacing w:line="240"/>
        <w:ind w:firstLine="480"/>
        <w:rPr/>
      </w:pPr>
      <w:r>
        <w:rPr>
          <w:rFonts w:ascii="仿宋" w:hAnsi="仿宋" w:eastAsia="仿宋" w:cs="仿宋"/>
          <w:i w:val="false"/>
          <w:strike w:val="false"/>
          <w:color w:val="323232"/>
          <w:spacing w:val="0"/>
          <w:sz w:val="24"/>
          <w:u w:val="none"/>
        </w:rPr>
        <w:t>（3）勤奋学习，刻苦钻研，成绩优秀；学术研究兴趣浓厚，有较强的创新意识、创新能力和专业能力倾向；</w:t>
      </w:r>
    </w:p>
    <w:p>
      <w:pPr>
        <w:snapToGrid/>
        <w:spacing w:line="240"/>
        <w:ind w:firstLine="480"/>
        <w:rPr/>
      </w:pPr>
      <w:r>
        <w:rPr>
          <w:rFonts w:ascii="仿宋" w:hAnsi="仿宋" w:eastAsia="仿宋" w:cs="仿宋"/>
          <w:i w:val="false"/>
          <w:strike w:val="false"/>
          <w:color w:val="323232"/>
          <w:spacing w:val="0"/>
          <w:sz w:val="24"/>
          <w:u w:val="none"/>
        </w:rPr>
        <w:t>（4）诚实守信，学风端正，无任何考试作弊和剽窃他人学术成果记录；</w:t>
      </w:r>
    </w:p>
    <w:p>
      <w:pPr>
        <w:snapToGrid/>
        <w:spacing w:line="240"/>
        <w:ind w:firstLine="480"/>
        <w:rPr/>
      </w:pPr>
      <w:r>
        <w:rPr>
          <w:rFonts w:ascii="仿宋" w:hAnsi="仿宋" w:eastAsia="仿宋" w:cs="仿宋"/>
          <w:i w:val="false"/>
          <w:strike w:val="false"/>
          <w:color w:val="323232"/>
          <w:spacing w:val="0"/>
          <w:sz w:val="24"/>
          <w:u w:val="none"/>
        </w:rPr>
        <w:t>（5）品行表现优良，无任何违法违纪受处分记录；</w:t>
      </w:r>
    </w:p>
    <w:p>
      <w:pPr>
        <w:snapToGrid/>
        <w:spacing w:line="240"/>
        <w:ind w:firstLine="480"/>
        <w:rPr/>
      </w:pPr>
      <w:r>
        <w:rPr>
          <w:rFonts w:ascii="仿宋" w:hAnsi="仿宋" w:eastAsia="仿宋" w:cs="仿宋"/>
          <w:i w:val="false"/>
          <w:strike w:val="false"/>
          <w:color w:val="323232"/>
          <w:spacing w:val="0"/>
          <w:sz w:val="24"/>
          <w:u w:val="none"/>
        </w:rPr>
        <w:t>（6）申请“硕师计划”的学生须热爱教育工作，志愿到县镇及以下农村学校任教，服从省级教育行政部门安排,且所学专业原则上要与上级教育行政主管部门分配给我校的岗位学科一致。</w:t>
      </w:r>
    </w:p>
    <w:p>
      <w:pPr>
        <w:snapToGrid/>
        <w:spacing w:line="240"/>
        <w:ind w:firstLine="480"/>
        <w:rPr/>
      </w:pPr>
      <w:r>
        <w:rPr>
          <w:rFonts w:ascii="仿宋" w:hAnsi="仿宋" w:eastAsia="仿宋" w:cs="仿宋"/>
          <w:i w:val="false"/>
          <w:strike w:val="false"/>
          <w:color w:val="323232"/>
          <w:spacing w:val="0"/>
          <w:sz w:val="24"/>
          <w:u w:val="none"/>
        </w:rPr>
        <w:t>2．推荐的学生在满足上述基本条件的前提下，还须满足以下条件：</w:t>
      </w:r>
    </w:p>
    <w:p>
      <w:pPr>
        <w:snapToGrid/>
        <w:spacing w:line="240"/>
        <w:ind w:firstLine="480"/>
        <w:rPr/>
      </w:pPr>
      <w:r>
        <w:rPr>
          <w:rFonts w:ascii="仿宋" w:hAnsi="仿宋" w:eastAsia="仿宋" w:cs="仿宋"/>
          <w:i w:val="false"/>
          <w:strike w:val="false"/>
          <w:color w:val="323232"/>
          <w:spacing w:val="0"/>
          <w:sz w:val="24"/>
          <w:u w:val="none"/>
        </w:rPr>
        <w:t>（1）修完本专业培养方案规定的前三年的全部课程并取得学分，且无补考科目。</w:t>
      </w:r>
    </w:p>
    <w:p>
      <w:pPr>
        <w:snapToGrid/>
        <w:spacing w:line="240"/>
        <w:ind w:firstLine="480"/>
        <w:rPr/>
      </w:pPr>
      <w:r>
        <w:rPr>
          <w:rFonts w:ascii="仿宋" w:hAnsi="仿宋" w:eastAsia="仿宋" w:cs="仿宋"/>
          <w:i w:val="false"/>
          <w:strike w:val="false"/>
          <w:color w:val="323232"/>
          <w:spacing w:val="0"/>
          <w:sz w:val="24"/>
          <w:u w:val="none"/>
        </w:rPr>
        <w:t>（2）前三年所修课程平均学分绩点在本年级专业排名前20%（“硕师计划”为50%）以内。</w:t>
      </w:r>
    </w:p>
    <w:p>
      <w:pPr>
        <w:snapToGrid/>
        <w:spacing w:line="240"/>
        <w:ind w:firstLine="480"/>
        <w:rPr/>
      </w:pPr>
      <w:r>
        <w:rPr>
          <w:rFonts w:ascii="仿宋" w:hAnsi="仿宋" w:eastAsia="仿宋" w:cs="仿宋"/>
          <w:i w:val="false"/>
          <w:strike w:val="false"/>
          <w:color w:val="323232"/>
          <w:spacing w:val="0"/>
          <w:sz w:val="24"/>
          <w:u w:val="none"/>
        </w:rPr>
        <w:t>（3）学术型推免生大学英语六级考试成绩不低于425分（或日语N1合格）；“硕师计划”的学生大学英语四级考试成绩不低于425分。</w:t>
      </w:r>
    </w:p>
    <w:p>
      <w:pPr>
        <w:snapToGrid/>
        <w:spacing w:line="240"/>
        <w:ind w:firstLine="480"/>
        <w:rPr/>
      </w:pPr>
      <w:r>
        <w:rPr>
          <w:rFonts w:ascii="仿宋" w:hAnsi="仿宋" w:eastAsia="仿宋" w:cs="仿宋"/>
          <w:i w:val="false"/>
          <w:strike w:val="false"/>
          <w:color w:val="323232"/>
          <w:spacing w:val="0"/>
          <w:sz w:val="24"/>
          <w:u w:val="none"/>
        </w:rPr>
        <w:t>（4）申请“硕师计划”的学生普通话水平等级测试结果须在二乙及以上并符合教师资格证的办理要求。</w:t>
      </w:r>
    </w:p>
    <w:p>
      <w:pPr>
        <w:snapToGrid/>
        <w:spacing w:before="150" w:after="0" w:line="240"/>
        <w:ind w:left="0" w:right="0" w:hanging="0"/>
        <w:rPr/>
      </w:pPr>
      <w:r>
        <w:rPr>
          <w:rFonts w:ascii="楷体_gb2312" w:hAnsi="楷体_gb2312" w:cs="楷体_gb2312"/>
          <w:b/>
          <w:i w:val="false"/>
          <w:strike w:val="false"/>
          <w:color w:val="323232"/>
          <w:spacing w:val="0"/>
          <w:sz w:val="29"/>
          <w:u w:val="none"/>
        </w:rPr>
        <w:t>四、综合成绩评分办法</w:t>
      </w:r>
    </w:p>
    <w:p>
      <w:pPr>
        <w:snapToGrid/>
        <w:spacing w:line="240"/>
        <w:ind w:firstLine="480"/>
        <w:rPr/>
      </w:pPr>
      <w:r>
        <w:rPr>
          <w:rFonts w:ascii="仿宋" w:hAnsi="仿宋" w:eastAsia="仿宋" w:cs="仿宋"/>
          <w:i w:val="false"/>
          <w:strike w:val="false"/>
          <w:color w:val="323232"/>
          <w:spacing w:val="0"/>
          <w:sz w:val="24"/>
          <w:u w:val="none"/>
        </w:rPr>
        <w:t>学院根据学生学业成绩、综合素质确定推免生的综合成绩，成绩排名靠前的优先推荐。</w:t>
      </w:r>
    </w:p>
    <w:p>
      <w:pPr>
        <w:snapToGrid/>
        <w:spacing w:line="240"/>
        <w:ind w:firstLine="480"/>
        <w:rPr/>
      </w:pPr>
      <w:r>
        <w:rPr>
          <w:rFonts w:ascii="仿宋" w:hAnsi="仿宋" w:eastAsia="仿宋" w:cs="仿宋"/>
          <w:i w:val="false"/>
          <w:strike w:val="false"/>
          <w:color w:val="323232"/>
          <w:spacing w:val="0"/>
          <w:sz w:val="24"/>
          <w:u w:val="none"/>
        </w:rPr>
        <w:t>1．综合成绩的计算方法为：综合成绩=学业成绩+综合素质。（学业成绩占85%，综合素质占15%）</w:t>
      </w:r>
    </w:p>
    <w:p>
      <w:pPr>
        <w:snapToGrid/>
        <w:spacing w:line="240"/>
        <w:ind w:firstLine="480"/>
        <w:rPr/>
      </w:pPr>
      <w:r>
        <w:rPr>
          <w:rFonts w:ascii="仿宋" w:hAnsi="仿宋" w:eastAsia="仿宋" w:cs="仿宋"/>
          <w:i w:val="false"/>
          <w:strike w:val="false"/>
          <w:color w:val="323232"/>
          <w:spacing w:val="0"/>
          <w:sz w:val="24"/>
          <w:u w:val="none"/>
        </w:rPr>
        <w:t>2．学业成绩：按前三年必修课平均学分绩点计算，通过学院、教务处统一并受理备案的缓考成绩按正考成绩计算。学业成绩=个人平均学分绩点／所属年级专业最高平均学分绩点×100×85%。</w:t>
      </w:r>
    </w:p>
    <w:p>
      <w:pPr>
        <w:snapToGrid/>
        <w:spacing w:line="240"/>
        <w:ind w:firstLine="480"/>
        <w:rPr/>
      </w:pPr>
      <w:r>
        <w:rPr>
          <w:rFonts w:ascii="仿宋" w:hAnsi="仿宋" w:eastAsia="仿宋" w:cs="仿宋"/>
          <w:i w:val="false"/>
          <w:strike w:val="false"/>
          <w:color w:val="323232"/>
          <w:spacing w:val="0"/>
          <w:sz w:val="24"/>
          <w:u w:val="none"/>
        </w:rPr>
        <w:t>3．综合素质：主要考察学生的科研能力、创新精神、创新能力、竞赛获奖、专业能力倾向以及在校期间参军入伍服兵役、参加志愿服务、到国际组织实习情况，分为以下四个类别：科研论文发表、科研项目、学科专业竞赛、社会活动情况。综合素质评审由学生本人提出申请，并提供相应的证明材料。综合素质=个人综合素质考核分数×15%（综合素质上限为100分）。</w:t>
      </w:r>
    </w:p>
    <w:p>
      <w:pPr>
        <w:snapToGrid/>
        <w:spacing w:line="568"/>
        <w:ind w:firstLine="480"/>
        <w:rPr/>
      </w:pPr>
    </w:p>
    <w:p>
      <w:pPr>
        <w:snapToGrid/>
        <w:spacing w:line="240"/>
        <w:ind w:hanging="0"/>
        <w:rPr/>
      </w:pPr>
      <w:r>
        <w:rPr>
          <w:rFonts w:ascii="仿宋" w:hAnsi="仿宋" w:eastAsia="仿宋" w:cs="仿宋"/>
          <w:i w:val="false"/>
          <w:strike w:val="false"/>
          <w:color w:val="323232"/>
          <w:spacing w:val="0"/>
          <w:sz w:val="24"/>
          <w:u w:val="none"/>
        </w:rPr>
        <w:t>（1）科研论文发表</w:t>
      </w:r>
    </w:p>
    <w:p>
      <w:pPr>
        <w:snapToGrid/>
        <w:spacing w:line="240"/>
        <w:ind w:hanging="0"/>
        <w:jc w:val="center"/>
        <w:rPr/>
      </w:pPr>
      <w:r>
        <w:rPr>
          <w:rFonts w:ascii="仿宋" w:hAnsi="仿宋" w:eastAsia="仿宋" w:cs="仿宋"/>
          <w:i w:val="false"/>
          <w:strike w:val="false"/>
          <w:color w:val="323232"/>
          <w:spacing w:val="0"/>
          <w:sz w:val="24"/>
          <w:u w:val="none"/>
        </w:rPr>
        <w:t>表一  科研论文发表等级与分值一览表</w:t>
      </w:r>
    </w:p>
    <w:tbl>
      <w:tblPr>
        <w:tblStyle w:val="000015"/>
        <w:tblLayout w:type="fixed"/>
      </w:tblPr>
      <w:tblGrid>
        <w:gridCol w:w="825"/>
        <w:gridCol w:w="2340"/>
        <w:gridCol w:w="2160"/>
        <w:gridCol w:w="1800"/>
        <w:gridCol w:w="1815"/>
      </w:tblGrid>
      <w:tr>
        <w:trPr/>
        <w:tc>
          <w:tcPr>
            <w:tcW w:w="82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仿宋" w:hAnsi="仿宋" w:eastAsia="仿宋" w:cs="仿宋"/>
                <w:i w:val="false"/>
                <w:strike w:val="false"/>
                <w:color w:val="323232"/>
                <w:spacing w:val="0"/>
                <w:sz w:val="24"/>
                <w:u w:val="none"/>
              </w:rPr>
              <w:t>等级</w:t>
            </w:r>
          </w:p>
        </w:tc>
        <w:tc>
          <w:tcPr>
            <w:tcW w:w="23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仿宋" w:hAnsi="仿宋" w:eastAsia="仿宋" w:cs="仿宋"/>
                <w:i w:val="false"/>
                <w:strike w:val="false"/>
                <w:color w:val="323232"/>
                <w:spacing w:val="0"/>
                <w:sz w:val="24"/>
                <w:u w:val="none"/>
              </w:rPr>
              <w:t>中国人文社会科学顶级/权威期刊</w:t>
            </w:r>
          </w:p>
        </w:tc>
        <w:tc>
          <w:tcPr>
            <w:tcW w:w="21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仿宋" w:hAnsi="仿宋" w:eastAsia="仿宋" w:cs="仿宋"/>
                <w:i w:val="false"/>
                <w:strike w:val="false"/>
                <w:color w:val="323232"/>
                <w:spacing w:val="0"/>
                <w:sz w:val="24"/>
                <w:u w:val="none"/>
              </w:rPr>
              <w:t>CSSCI/CSCD源（</w:t>
            </w:r>
            <w:r>
              <w:rPr>
                <w:rFonts w:ascii="宋体" w:hAnsi="宋体" w:eastAsia="宋体" w:cs="宋体"/>
                <w:i w:val="false"/>
                <w:strike w:val="false"/>
                <w:color w:val="323232"/>
                <w:spacing w:val="0"/>
                <w:sz w:val="24"/>
                <w:u w:val="none"/>
              </w:rPr>
              <w:t>集</w:t>
            </w:r>
            <w:r>
              <w:rPr>
                <w:rFonts w:ascii="仿宋" w:hAnsi="仿宋" w:eastAsia="仿宋" w:cs="仿宋"/>
                <w:i w:val="false"/>
                <w:strike w:val="false"/>
                <w:color w:val="323232"/>
                <w:spacing w:val="0"/>
                <w:sz w:val="24"/>
                <w:u w:val="none"/>
              </w:rPr>
              <w:t>）刊</w:t>
            </w:r>
          </w:p>
        </w:tc>
        <w:tc>
          <w:tcPr>
            <w:tcW w:w="180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仿宋" w:hAnsi="仿宋" w:eastAsia="仿宋" w:cs="仿宋"/>
                <w:i w:val="false"/>
                <w:strike w:val="false"/>
                <w:color w:val="323232"/>
                <w:spacing w:val="0"/>
                <w:sz w:val="24"/>
                <w:u w:val="none"/>
              </w:rPr>
              <w:t>北大核心</w:t>
            </w:r>
          </w:p>
        </w:tc>
        <w:tc>
          <w:tcPr>
            <w:tcW w:w="18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仿宋" w:hAnsi="仿宋" w:eastAsia="仿宋" w:cs="仿宋"/>
                <w:i w:val="false"/>
                <w:strike w:val="false"/>
                <w:color w:val="323232"/>
                <w:spacing w:val="0"/>
                <w:sz w:val="24"/>
                <w:u w:val="none"/>
              </w:rPr>
              <w:t>其他省级刊物</w:t>
            </w:r>
          </w:p>
        </w:tc>
      </w:tr>
      <w:tr>
        <w:trPr/>
        <w:tc>
          <w:tcPr>
            <w:tcW w:w="82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仿宋" w:hAnsi="仿宋" w:eastAsia="仿宋" w:cs="仿宋"/>
                <w:i w:val="false"/>
                <w:strike w:val="false"/>
                <w:color w:val="323232"/>
                <w:spacing w:val="0"/>
                <w:sz w:val="24"/>
                <w:u w:val="none"/>
              </w:rPr>
              <w:t>分值</w:t>
            </w:r>
          </w:p>
        </w:tc>
        <w:tc>
          <w:tcPr>
            <w:tcW w:w="23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仿宋" w:hAnsi="仿宋" w:eastAsia="仿宋" w:cs="仿宋"/>
                <w:i w:val="false"/>
                <w:strike w:val="false"/>
                <w:color w:val="323232"/>
                <w:spacing w:val="0"/>
                <w:sz w:val="24"/>
                <w:u w:val="none"/>
              </w:rPr>
              <w:t>50</w:t>
            </w:r>
          </w:p>
        </w:tc>
        <w:tc>
          <w:tcPr>
            <w:tcW w:w="21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仿宋" w:hAnsi="仿宋" w:eastAsia="仿宋" w:cs="仿宋"/>
                <w:i w:val="false"/>
                <w:strike w:val="false"/>
                <w:color w:val="323232"/>
                <w:spacing w:val="0"/>
                <w:sz w:val="24"/>
                <w:u w:val="none"/>
              </w:rPr>
              <w:t>30</w:t>
            </w:r>
          </w:p>
        </w:tc>
        <w:tc>
          <w:tcPr>
            <w:tcW w:w="180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仿宋" w:hAnsi="仿宋" w:eastAsia="仿宋" w:cs="仿宋"/>
                <w:i w:val="false"/>
                <w:strike w:val="false"/>
                <w:color w:val="323232"/>
                <w:spacing w:val="0"/>
                <w:sz w:val="24"/>
                <w:u w:val="none"/>
              </w:rPr>
              <w:t>25</w:t>
            </w:r>
          </w:p>
        </w:tc>
        <w:tc>
          <w:tcPr>
            <w:tcW w:w="181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仿宋" w:hAnsi="仿宋" w:eastAsia="仿宋" w:cs="仿宋"/>
                <w:i w:val="false"/>
                <w:strike w:val="false"/>
                <w:color w:val="323232"/>
                <w:spacing w:val="0"/>
                <w:sz w:val="24"/>
                <w:u w:val="none"/>
              </w:rPr>
              <w:t>10</w:t>
            </w:r>
          </w:p>
        </w:tc>
      </w:tr>
    </w:tbl>
    <w:p>
      <w:pPr>
        <w:snapToGrid/>
        <w:spacing w:line="240"/>
        <w:ind w:firstLine="480"/>
        <w:jc w:val="left"/>
        <w:rPr/>
      </w:pPr>
      <w:r>
        <w:rPr>
          <w:rFonts w:ascii="仿宋" w:hAnsi="仿宋" w:eastAsia="仿宋" w:cs="仿宋"/>
          <w:i w:val="false"/>
          <w:strike w:val="false"/>
          <w:color w:val="323232"/>
          <w:spacing w:val="0"/>
          <w:sz w:val="24"/>
          <w:u w:val="none"/>
        </w:rPr>
        <w:t>发表论文仅限学生本科阶段在核心期刊上以独立作者或第一作者发表的与学业相关的科研论文。发表科研论文的刊物须为发表在当年度中国知网可查的正式刊物，不同学术论文不累加计分，仅取1项最高分；刊物等级以论文发表当年度的级别为准。学生独（合）著论文，投稿前必须向一位本专业老师报备，获得必要指导，否则发表后不计分。</w:t>
      </w:r>
    </w:p>
    <w:p>
      <w:pPr>
        <w:snapToGrid/>
        <w:spacing w:line="240"/>
        <w:ind w:hanging="0"/>
        <w:rPr/>
      </w:pPr>
      <w:r>
        <w:rPr>
          <w:rFonts w:ascii="仿宋" w:hAnsi="仿宋" w:eastAsia="仿宋" w:cs="仿宋"/>
          <w:i w:val="false"/>
          <w:strike w:val="false"/>
          <w:color w:val="323232"/>
          <w:spacing w:val="0"/>
          <w:sz w:val="24"/>
          <w:u w:val="none"/>
        </w:rPr>
        <w:t>（2）科研项目</w:t>
      </w:r>
    </w:p>
    <w:p>
      <w:pPr>
        <w:snapToGrid/>
        <w:spacing w:line="240"/>
        <w:ind w:hanging="0"/>
        <w:jc w:val="center"/>
        <w:rPr/>
      </w:pPr>
      <w:r>
        <w:rPr>
          <w:rFonts w:ascii="仿宋" w:hAnsi="仿宋" w:eastAsia="仿宋" w:cs="仿宋"/>
          <w:i w:val="false"/>
          <w:strike w:val="false"/>
          <w:color w:val="323232"/>
          <w:spacing w:val="0"/>
          <w:sz w:val="24"/>
          <w:u w:val="none"/>
        </w:rPr>
        <w:t>表二  科研项目等级与分值一览表</w:t>
      </w:r>
    </w:p>
    <w:tbl>
      <w:tblPr>
        <w:tblStyle w:val="000015"/>
        <w:tblLayout w:type="fixed"/>
      </w:tblPr>
      <w:tblGrid>
        <w:gridCol w:w="2235"/>
        <w:gridCol w:w="2235"/>
        <w:gridCol w:w="2235"/>
        <w:gridCol w:w="2040"/>
      </w:tblGrid>
      <w:tr>
        <w:trPr/>
        <w:tc>
          <w:tcPr>
            <w:tcW w:w="223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宋体" w:hAnsi="宋体" w:eastAsia="宋体" w:cs="宋体"/>
                <w:i w:val="false"/>
                <w:strike w:val="false"/>
                <w:color w:val="323232"/>
                <w:spacing w:val="0"/>
                <w:sz w:val="24"/>
                <w:u w:val="none"/>
              </w:rPr>
              <w:t>等级</w:t>
            </w:r>
          </w:p>
        </w:tc>
        <w:tc>
          <w:tcPr>
            <w:tcW w:w="223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宋体" w:hAnsi="宋体" w:eastAsia="宋体" w:cs="宋体"/>
                <w:i w:val="false"/>
                <w:strike w:val="false"/>
                <w:color w:val="323232"/>
                <w:spacing w:val="0"/>
                <w:sz w:val="24"/>
                <w:u w:val="none"/>
              </w:rPr>
              <w:t>国家级</w:t>
            </w:r>
          </w:p>
        </w:tc>
        <w:tc>
          <w:tcPr>
            <w:tcW w:w="223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宋体" w:hAnsi="宋体" w:eastAsia="宋体" w:cs="宋体"/>
                <w:i w:val="false"/>
                <w:strike w:val="false"/>
                <w:color w:val="323232"/>
                <w:spacing w:val="0"/>
                <w:sz w:val="24"/>
                <w:u w:val="none"/>
              </w:rPr>
              <w:t>省级</w:t>
            </w:r>
          </w:p>
        </w:tc>
        <w:tc>
          <w:tcPr>
            <w:tcW w:w="20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宋体" w:hAnsi="宋体" w:eastAsia="宋体" w:cs="宋体"/>
                <w:i w:val="false"/>
                <w:strike w:val="false"/>
                <w:color w:val="323232"/>
                <w:spacing w:val="0"/>
                <w:sz w:val="24"/>
                <w:u w:val="none"/>
              </w:rPr>
              <w:t>地厅级</w:t>
            </w:r>
          </w:p>
        </w:tc>
      </w:tr>
      <w:tr>
        <w:trPr/>
        <w:tc>
          <w:tcPr>
            <w:tcW w:w="223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宋体" w:hAnsi="宋体" w:eastAsia="宋体" w:cs="宋体"/>
                <w:i w:val="false"/>
                <w:strike w:val="false"/>
                <w:color w:val="323232"/>
                <w:spacing w:val="0"/>
                <w:sz w:val="24"/>
                <w:u w:val="none"/>
              </w:rPr>
              <w:t>分值</w:t>
            </w:r>
          </w:p>
        </w:tc>
        <w:tc>
          <w:tcPr>
            <w:tcW w:w="223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仿宋" w:hAnsi="仿宋" w:eastAsia="仿宋" w:cs="仿宋"/>
                <w:i w:val="false"/>
                <w:strike w:val="false"/>
                <w:color w:val="323232"/>
                <w:spacing w:val="0"/>
                <w:sz w:val="24"/>
                <w:u w:val="none"/>
              </w:rPr>
              <w:t>15</w:t>
            </w:r>
          </w:p>
        </w:tc>
        <w:tc>
          <w:tcPr>
            <w:tcW w:w="223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仿宋" w:hAnsi="仿宋" w:eastAsia="仿宋" w:cs="仿宋"/>
                <w:i w:val="false"/>
                <w:strike w:val="false"/>
                <w:color w:val="323232"/>
                <w:spacing w:val="0"/>
                <w:sz w:val="24"/>
                <w:u w:val="none"/>
              </w:rPr>
              <w:t>10</w:t>
            </w:r>
          </w:p>
        </w:tc>
        <w:tc>
          <w:tcPr>
            <w:tcW w:w="204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仿宋" w:hAnsi="仿宋" w:eastAsia="仿宋" w:cs="仿宋"/>
                <w:i w:val="false"/>
                <w:strike w:val="false"/>
                <w:color w:val="323232"/>
                <w:spacing w:val="0"/>
                <w:sz w:val="24"/>
                <w:u w:val="none"/>
              </w:rPr>
              <w:t>3</w:t>
            </w:r>
          </w:p>
        </w:tc>
      </w:tr>
    </w:tbl>
    <w:p>
      <w:pPr>
        <w:snapToGrid/>
        <w:spacing w:line="240"/>
        <w:ind w:firstLine="480"/>
        <w:rPr/>
      </w:pPr>
      <w:r>
        <w:rPr>
          <w:rFonts w:ascii="仿宋" w:hAnsi="仿宋" w:eastAsia="仿宋" w:cs="仿宋"/>
          <w:i w:val="false"/>
          <w:strike w:val="false"/>
          <w:color w:val="323232"/>
          <w:spacing w:val="0"/>
          <w:sz w:val="24"/>
          <w:u w:val="none"/>
        </w:rPr>
        <w:t>不同项目仅取1项最高分。项目主持人系数为1，第2-3者系数为0.5，余者为0.2。学生仅参与教师课题或项目，不计分。</w:t>
      </w:r>
    </w:p>
    <w:p>
      <w:pPr>
        <w:snapToGrid/>
        <w:spacing w:line="240"/>
        <w:ind w:firstLine="1680"/>
        <w:rPr/>
      </w:pPr>
      <w:r>
        <w:rPr>
          <w:rFonts w:ascii="仿宋" w:hAnsi="仿宋" w:eastAsia="仿宋" w:cs="仿宋"/>
          <w:i w:val="false"/>
          <w:strike w:val="false"/>
          <w:color w:val="323232"/>
          <w:spacing w:val="0"/>
          <w:sz w:val="24"/>
          <w:u w:val="none"/>
        </w:rPr>
        <w:t>政府部门举办的学科专业竞赛类活动表</w:t>
      </w:r>
      <w:r>
        <w:rPr>
          <w:rFonts w:ascii="宋体" w:hAnsi="宋体" w:eastAsia="宋体" w:cs="宋体"/>
          <w:i w:val="false"/>
          <w:strike w:val="false"/>
          <w:color w:val="323232"/>
          <w:spacing w:val="0"/>
          <w:sz w:val="24"/>
          <w:u w:val="none"/>
        </w:rPr>
        <w:t>三</w:t>
      </w:r>
      <w:r>
        <w:rPr>
          <w:rFonts w:ascii="仿宋" w:hAnsi="仿宋" w:eastAsia="仿宋" w:cs="仿宋"/>
          <w:i w:val="false"/>
          <w:strike w:val="false"/>
          <w:color w:val="323232"/>
          <w:spacing w:val="0"/>
          <w:sz w:val="24"/>
          <w:u w:val="none"/>
        </w:rPr>
        <w:t xml:space="preserve">  政府部门举办的学科专业竞赛等级与分值一览表</w:t>
      </w:r>
    </w:p>
    <w:tbl>
      <w:tblPr>
        <w:tblStyle w:val="000015"/>
        <w:tblLayout w:type="fixed"/>
      </w:tblPr>
      <w:tblGrid>
        <w:gridCol w:w="1785"/>
        <w:gridCol w:w="6960"/>
      </w:tblGrid>
      <w:tr>
        <w:trPr/>
        <w:tc>
          <w:tcPr>
            <w:tcW w:w="178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宋体" w:hAnsi="宋体" w:eastAsia="宋体" w:cs="宋体"/>
                <w:i w:val="false"/>
                <w:strike w:val="false"/>
                <w:color w:val="323232"/>
                <w:spacing w:val="0"/>
                <w:sz w:val="24"/>
                <w:u w:val="none"/>
              </w:rPr>
              <w:t>等级</w:t>
            </w:r>
          </w:p>
        </w:tc>
        <w:tc>
          <w:tcPr>
            <w:tcW w:w="69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宋体" w:hAnsi="宋体" w:eastAsia="宋体" w:cs="宋体"/>
                <w:i w:val="false"/>
                <w:strike w:val="false"/>
                <w:color w:val="323232"/>
                <w:spacing w:val="0"/>
                <w:sz w:val="24"/>
                <w:u w:val="none"/>
              </w:rPr>
              <w:t>国家级</w:t>
            </w:r>
          </w:p>
        </w:tc>
      </w:tr>
      <w:tr>
        <w:trPr/>
        <w:tc>
          <w:tcPr>
            <w:tcW w:w="178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宋体" w:hAnsi="宋体" w:eastAsia="宋体" w:cs="宋体"/>
                <w:i w:val="false"/>
                <w:strike w:val="false"/>
                <w:color w:val="323232"/>
                <w:spacing w:val="0"/>
                <w:sz w:val="24"/>
                <w:u w:val="none"/>
              </w:rPr>
              <w:t>一等奖</w:t>
            </w:r>
          </w:p>
        </w:tc>
        <w:tc>
          <w:tcPr>
            <w:tcW w:w="69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仿宋" w:hAnsi="仿宋" w:eastAsia="仿宋" w:cs="仿宋"/>
                <w:i w:val="false"/>
                <w:strike w:val="false"/>
                <w:color w:val="323232"/>
                <w:spacing w:val="0"/>
                <w:sz w:val="24"/>
                <w:u w:val="none"/>
              </w:rPr>
              <w:t>20</w:t>
            </w:r>
          </w:p>
        </w:tc>
      </w:tr>
      <w:tr>
        <w:trPr/>
        <w:tc>
          <w:tcPr>
            <w:tcW w:w="178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宋体" w:hAnsi="宋体" w:eastAsia="宋体" w:cs="宋体"/>
                <w:i w:val="false"/>
                <w:strike w:val="false"/>
                <w:color w:val="323232"/>
                <w:spacing w:val="0"/>
                <w:sz w:val="24"/>
                <w:u w:val="none"/>
              </w:rPr>
              <w:t>二等奖</w:t>
            </w:r>
          </w:p>
        </w:tc>
        <w:tc>
          <w:tcPr>
            <w:tcW w:w="69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仿宋" w:hAnsi="仿宋" w:eastAsia="仿宋" w:cs="仿宋"/>
                <w:i w:val="false"/>
                <w:strike w:val="false"/>
                <w:color w:val="323232"/>
                <w:spacing w:val="0"/>
                <w:sz w:val="24"/>
                <w:u w:val="none"/>
              </w:rPr>
              <w:t>15</w:t>
            </w:r>
          </w:p>
        </w:tc>
      </w:tr>
      <w:tr>
        <w:trPr/>
        <w:tc>
          <w:tcPr>
            <w:tcW w:w="1785"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宋体" w:hAnsi="宋体" w:eastAsia="宋体" w:cs="宋体"/>
                <w:i w:val="false"/>
                <w:strike w:val="false"/>
                <w:color w:val="323232"/>
                <w:spacing w:val="0"/>
                <w:sz w:val="24"/>
                <w:u w:val="none"/>
              </w:rPr>
              <w:t>三等奖</w:t>
            </w:r>
          </w:p>
        </w:tc>
        <w:tc>
          <w:tcPr>
            <w:tcW w:w="696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pPr>
              <w:snapToGrid/>
              <w:spacing w:before="0" w:after="0" w:line="240"/>
              <w:ind/>
              <w:jc w:val="center"/>
              <w:rPr/>
            </w:pPr>
            <w:r>
              <w:rPr>
                <w:rFonts w:ascii="仿宋" w:hAnsi="仿宋" w:eastAsia="仿宋" w:cs="仿宋"/>
                <w:i w:val="false"/>
                <w:strike w:val="false"/>
                <w:color w:val="323232"/>
                <w:spacing w:val="0"/>
                <w:sz w:val="24"/>
                <w:u w:val="none"/>
              </w:rPr>
              <w:t>10</w:t>
            </w:r>
          </w:p>
        </w:tc>
      </w:tr>
    </w:tbl>
    <w:p>
      <w:pPr>
        <w:snapToGrid/>
        <w:spacing w:line="240"/>
        <w:ind w:firstLine="480"/>
        <w:rPr/>
      </w:pPr>
      <w:r>
        <w:rPr>
          <w:rFonts w:ascii="仿宋" w:hAnsi="仿宋" w:eastAsia="仿宋" w:cs="仿宋"/>
          <w:i w:val="false"/>
          <w:strike w:val="false"/>
          <w:color w:val="323232"/>
          <w:spacing w:val="0"/>
          <w:sz w:val="24"/>
          <w:u w:val="none"/>
        </w:rPr>
        <w:t>学生作为主力成员参加与学业相关的国内权威科研竞赛（全国赛）并获得三等奖以上奖励（国际赛事参照执行，但不得低于国内赛事相关要求）。不同奖项不累加计分，仅取1项最高分。奖项等级设置与表中不同的，最高奖项按表中一等奖类推；单项奖按三等奖减半计分，优秀奖不予计分。团体竞赛项目排名第1者系数为1，第2-3者系数为0.5，余者为0.2。对获奖的认定，原则上以获奖证书为准，但是比赛组织者官网上已认定的（非公示）也可计算。</w:t>
      </w:r>
    </w:p>
    <w:p>
      <w:pPr>
        <w:snapToGrid/>
        <w:spacing w:line="240"/>
        <w:ind w:firstLine="480"/>
        <w:rPr/>
      </w:pPr>
      <w:r>
        <w:rPr>
          <w:rFonts w:ascii="仿宋" w:hAnsi="仿宋" w:eastAsia="仿宋" w:cs="仿宋"/>
          <w:i w:val="false"/>
          <w:strike w:val="false"/>
          <w:color w:val="323232"/>
          <w:spacing w:val="0"/>
          <w:sz w:val="24"/>
          <w:u w:val="none"/>
        </w:rPr>
        <w:t>（4）社会活动：学生在校期间参军入伍服兵役计10分，到国际组织实习计8分，参加政府组织的国家级志愿服务计5分，省级志愿服务计2分。</w:t>
      </w:r>
    </w:p>
    <w:p>
      <w:pPr>
        <w:snapToGrid/>
        <w:spacing w:line="568"/>
        <w:ind w:firstLine="480"/>
        <w:rPr/>
      </w:pPr>
    </w:p>
    <w:p>
      <w:pPr>
        <w:snapToGrid/>
        <w:spacing w:before="150" w:after="0" w:line="240"/>
        <w:ind w:left="0" w:right="0" w:hanging="0"/>
        <w:rPr/>
      </w:pPr>
      <w:r>
        <w:rPr>
          <w:rFonts w:ascii="楷体_gb2312" w:hAnsi="楷体_gb2312" w:cs="楷体_gb2312"/>
          <w:b/>
          <w:i w:val="false"/>
          <w:strike w:val="false"/>
          <w:color w:val="323232"/>
          <w:spacing w:val="0"/>
          <w:sz w:val="29"/>
          <w:u w:val="none"/>
        </w:rPr>
        <w:t>五、推荐程序</w:t>
      </w:r>
    </w:p>
    <w:p>
      <w:pPr>
        <w:snapToGrid/>
        <w:spacing w:line="240"/>
        <w:ind w:firstLine="480"/>
        <w:rPr/>
      </w:pPr>
      <w:r>
        <w:rPr>
          <w:rFonts w:ascii="仿宋" w:hAnsi="仿宋" w:eastAsia="仿宋" w:cs="仿宋"/>
          <w:i w:val="false"/>
          <w:strike w:val="false"/>
          <w:color w:val="323232"/>
          <w:spacing w:val="0"/>
          <w:sz w:val="24"/>
          <w:u w:val="none"/>
        </w:rPr>
        <w:t>1．学院成立推免工作小组，负责推免组织、考核、审定、接受考生咨询、监督、申诉及处理等工作，推免结果按照学校要求在学院网站进行公示10个工作日。组长由学院院长担任，成员由学院领导和各专业负责人、教师代表等组成，其中具有副高及以上职称的人员比例不低于80%。直系亲属应主动回避，不得参与推免工作。</w:t>
      </w:r>
    </w:p>
    <w:p>
      <w:pPr>
        <w:snapToGrid/>
        <w:spacing w:line="240"/>
        <w:ind w:firstLine="480"/>
        <w:rPr/>
      </w:pPr>
      <w:r>
        <w:rPr>
          <w:rFonts w:ascii="仿宋" w:hAnsi="仿宋" w:eastAsia="仿宋" w:cs="仿宋"/>
          <w:i w:val="false"/>
          <w:strike w:val="false"/>
          <w:color w:val="323232"/>
          <w:spacing w:val="0"/>
          <w:sz w:val="24"/>
          <w:u w:val="none"/>
        </w:rPr>
        <w:t>2．符合推免条件的学生向学院提出申请，填写好《湖南科技大学推荐免试攻读硕士学位研究生资格申请表》，并签署承诺书，同时提交相关成果（社会活动类成果须为线下活动，并提供详实的过程材料）、奖励或证明原件及学院教务部门提供的必修课程成绩，各专业初审、测评后将推荐人选及相关资料交学院推免工作小组。</w:t>
      </w:r>
    </w:p>
    <w:p>
      <w:pPr>
        <w:snapToGrid/>
        <w:spacing w:line="240"/>
        <w:ind w:firstLine="480"/>
        <w:rPr/>
      </w:pPr>
      <w:r>
        <w:rPr>
          <w:rFonts w:ascii="仿宋" w:hAnsi="仿宋" w:eastAsia="仿宋" w:cs="仿宋"/>
          <w:i w:val="false"/>
          <w:strike w:val="false"/>
          <w:color w:val="323232"/>
          <w:spacing w:val="0"/>
          <w:sz w:val="24"/>
          <w:u w:val="none"/>
        </w:rPr>
        <w:t>3．学院推荐工作小组对各专业推荐的人选按上级文件、学校推免办法及学院“推荐细则”的规定进行综合测评选拔，依据学校分配的推免限额审定初选名单并公示3个工作日；对有异议的学生，学院将查明情况，公布处理结果。</w:t>
      </w:r>
    </w:p>
    <w:p>
      <w:pPr>
        <w:snapToGrid/>
        <w:spacing w:line="240"/>
        <w:ind w:firstLine="480"/>
        <w:rPr/>
      </w:pPr>
      <w:r>
        <w:rPr>
          <w:rFonts w:ascii="仿宋" w:hAnsi="仿宋" w:eastAsia="仿宋" w:cs="仿宋"/>
          <w:i w:val="false"/>
          <w:strike w:val="false"/>
          <w:color w:val="323232"/>
          <w:spacing w:val="0"/>
          <w:sz w:val="24"/>
          <w:u w:val="none"/>
        </w:rPr>
        <w:t>4．学院公示无异议的学生填写教育部统一印制的《全国推荐免试攻读硕士学位研究生登记表》（申请“硕师计划”的学生填写《“硕师计划”研究生登记表》），经学院推荐工作小组审核盖章后，报学校推免生遴选工作领导小组审定。</w:t>
      </w:r>
    </w:p>
    <w:p>
      <w:pPr>
        <w:snapToGrid/>
        <w:spacing w:line="240"/>
        <w:ind w:firstLine="480"/>
        <w:rPr/>
      </w:pPr>
      <w:r>
        <w:rPr>
          <w:rFonts w:ascii="仿宋" w:hAnsi="仿宋" w:eastAsia="仿宋" w:cs="仿宋"/>
          <w:i w:val="false"/>
          <w:strike w:val="false"/>
          <w:color w:val="323232"/>
          <w:spacing w:val="0"/>
          <w:sz w:val="24"/>
          <w:u w:val="none"/>
        </w:rPr>
        <w:t>5．申请“硕师计划”的学生还须参加省级教育行政部门组织的供需见面会，按照正式教师聘用和特岗教师录用程序进行考核和面试，签订《教师聘用合同》。未签订《教师聘用合同》者，不予推荐。</w:t>
      </w:r>
    </w:p>
    <w:p>
      <w:pPr>
        <w:snapToGrid/>
        <w:spacing w:line="240"/>
        <w:ind w:firstLine="480"/>
        <w:rPr/>
      </w:pPr>
      <w:r>
        <w:rPr>
          <w:rFonts w:ascii="仿宋" w:hAnsi="仿宋" w:eastAsia="仿宋" w:cs="仿宋"/>
          <w:i w:val="false"/>
          <w:strike w:val="false"/>
          <w:color w:val="323232"/>
          <w:spacing w:val="0"/>
          <w:sz w:val="24"/>
          <w:u w:val="none"/>
        </w:rPr>
        <w:t>6．学校在教育部规定时间内通过“全国推荐优秀应届本科毕业生免试攻读研究生信息公开暨管理服务系统”报湖南省教育考试院进行政策审核，并按要求向教育部备案，最终推免生名单以该系统信息为准。</w:t>
      </w:r>
    </w:p>
    <w:p>
      <w:pPr>
        <w:snapToGrid/>
        <w:spacing w:before="150" w:after="0" w:line="240"/>
        <w:ind w:left="0" w:right="0" w:hanging="0"/>
        <w:rPr/>
      </w:pPr>
      <w:r>
        <w:rPr>
          <w:rFonts w:ascii="楷体_gb2312" w:hAnsi="楷体_gb2312" w:cs="楷体_gb2312"/>
          <w:b/>
          <w:i w:val="false"/>
          <w:strike w:val="false"/>
          <w:color w:val="323232"/>
          <w:spacing w:val="0"/>
          <w:sz w:val="29"/>
          <w:u w:val="none"/>
        </w:rPr>
        <w:t>六、其他有关事项</w:t>
      </w:r>
    </w:p>
    <w:p>
      <w:pPr>
        <w:snapToGrid/>
        <w:spacing w:line="240"/>
        <w:ind w:hanging="0"/>
        <w:rPr/>
      </w:pPr>
      <w:r>
        <w:rPr>
          <w:rFonts w:ascii="仿宋" w:hAnsi="仿宋" w:eastAsia="仿宋" w:cs="仿宋"/>
          <w:i w:val="false"/>
          <w:strike w:val="false"/>
          <w:color w:val="323232"/>
          <w:spacing w:val="0"/>
          <w:sz w:val="24"/>
          <w:u w:val="none"/>
        </w:rPr>
        <w:t xml:space="preserve">  1．获得免试资格者一律不进行就业推荐并不得中途退出。</w:t>
      </w:r>
    </w:p>
    <w:p>
      <w:pPr>
        <w:snapToGrid/>
        <w:spacing w:line="240"/>
        <w:ind w:hanging="0"/>
        <w:rPr/>
      </w:pPr>
      <w:r>
        <w:rPr>
          <w:rFonts w:ascii="仿宋" w:hAnsi="仿宋" w:eastAsia="仿宋" w:cs="仿宋"/>
          <w:i w:val="false"/>
          <w:strike w:val="false"/>
          <w:color w:val="323232"/>
          <w:spacing w:val="0"/>
          <w:sz w:val="24"/>
          <w:u w:val="none"/>
        </w:rPr>
        <w:t xml:space="preserve">   2．获得免试资格如有下列情况之一者，取消录取资格：</w:t>
      </w:r>
    </w:p>
    <w:p>
      <w:pPr>
        <w:snapToGrid/>
        <w:spacing w:line="240"/>
        <w:ind w:hanging="0"/>
        <w:rPr/>
      </w:pPr>
      <w:r>
        <w:rPr>
          <w:rFonts w:ascii="仿宋" w:hAnsi="仿宋" w:eastAsia="仿宋" w:cs="仿宋"/>
          <w:i w:val="false"/>
          <w:strike w:val="false"/>
          <w:color w:val="323232"/>
          <w:spacing w:val="0"/>
          <w:sz w:val="24"/>
          <w:u w:val="none"/>
        </w:rPr>
        <w:t xml:space="preserve"> （1）在申请推免过程中弄虚作假者；</w:t>
      </w:r>
    </w:p>
    <w:p>
      <w:pPr>
        <w:snapToGrid/>
        <w:spacing w:line="240"/>
        <w:ind w:hanging="0"/>
        <w:rPr/>
      </w:pPr>
      <w:r>
        <w:rPr>
          <w:rFonts w:ascii="仿宋" w:hAnsi="仿宋" w:eastAsia="仿宋" w:cs="仿宋"/>
          <w:i w:val="false"/>
          <w:strike w:val="false"/>
          <w:color w:val="323232"/>
          <w:spacing w:val="0"/>
          <w:sz w:val="24"/>
          <w:u w:val="none"/>
        </w:rPr>
        <w:t xml:space="preserve"> （2）研究生入学前未取得学士学位或本科毕业证书，或受到处分者；</w:t>
      </w:r>
    </w:p>
    <w:p>
      <w:pPr>
        <w:snapToGrid/>
        <w:spacing w:line="240"/>
        <w:ind w:hanging="0"/>
        <w:rPr/>
      </w:pPr>
      <w:r>
        <w:rPr>
          <w:rFonts w:ascii="仿宋" w:hAnsi="仿宋" w:eastAsia="仿宋" w:cs="仿宋"/>
          <w:i w:val="false"/>
          <w:strike w:val="false"/>
          <w:color w:val="323232"/>
          <w:spacing w:val="0"/>
          <w:sz w:val="24"/>
          <w:u w:val="none"/>
        </w:rPr>
        <w:t xml:space="preserve"> （3）取得免试资格后毕业学年中所修必修课程（包括毕业实习、毕业设计及毕业论文）考核成绩低于80分（或良好）者。</w:t>
      </w:r>
    </w:p>
    <w:p>
      <w:pPr>
        <w:snapToGrid/>
        <w:spacing w:line="240"/>
        <w:ind w:firstLine="480"/>
        <w:rPr/>
      </w:pPr>
      <w:r>
        <w:rPr>
          <w:rFonts w:ascii="仿宋" w:hAnsi="仿宋" w:eastAsia="仿宋" w:cs="仿宋"/>
          <w:i w:val="false"/>
          <w:strike w:val="false"/>
          <w:color w:val="323232"/>
          <w:spacing w:val="0"/>
          <w:sz w:val="24"/>
          <w:u w:val="none"/>
        </w:rPr>
        <w:t>3．学院鼓励参加了考核但未被推荐免试的学生参加研究生入学考试，在符合基本条件的前提按照学校相关精神优先录取。</w:t>
      </w:r>
    </w:p>
    <w:p>
      <w:pPr>
        <w:snapToGrid/>
        <w:spacing w:line="240"/>
        <w:ind w:firstLine="480"/>
        <w:rPr/>
      </w:pPr>
      <w:r>
        <w:rPr>
          <w:rFonts w:ascii="仿宋" w:hAnsi="仿宋" w:eastAsia="仿宋" w:cs="仿宋"/>
          <w:i w:val="false"/>
          <w:strike w:val="false"/>
          <w:color w:val="323232"/>
          <w:spacing w:val="0"/>
          <w:sz w:val="24"/>
          <w:u w:val="none"/>
        </w:rPr>
        <w:t>4．未尽事宜，另行讨论。</w:t>
      </w:r>
    </w:p>
    <w:p>
      <w:pPr>
        <w:snapToGrid/>
        <w:spacing w:line="240"/>
        <w:ind w:firstLine="480"/>
        <w:rPr/>
      </w:pPr>
      <w:r>
        <w:rPr>
          <w:rFonts w:ascii="仿宋" w:hAnsi="仿宋" w:eastAsia="仿宋" w:cs="仿宋"/>
          <w:i w:val="false"/>
          <w:strike w:val="false"/>
          <w:color w:val="323232"/>
          <w:spacing w:val="0"/>
          <w:sz w:val="24"/>
          <w:u w:val="none"/>
        </w:rPr>
        <w:t>5.本细则从颁布之日开始实施，解释权归人文学院推荐优秀应届本科毕业生免试攻读硕士学位研究生工作小组。</w:t>
      </w:r>
    </w:p>
    <w:p>
      <w:pPr>
        <w:snapToGrid/>
        <w:spacing w:line="568"/>
        <w:ind w:firstLine="555"/>
        <w:rPr/>
      </w:pPr>
    </w:p>
    <w:p>
      <w:pPr>
        <w:snapToGrid/>
        <w:spacing w:line="568"/>
        <w:ind w:firstLine="555"/>
        <w:rPr/>
      </w:pPr>
    </w:p>
    <w:p>
      <w:pPr>
        <w:snapToGrid/>
        <w:spacing w:line="568"/>
        <w:ind w:hanging="0"/>
        <w:rPr/>
      </w:pPr>
    </w:p>
    <w:p>
      <w:pPr>
        <w:snapToGrid/>
        <w:spacing w:line="240"/>
        <w:ind w:hanging="0"/>
        <w:jc w:val="right"/>
        <w:rPr/>
      </w:pPr>
      <w:r>
        <w:rPr>
          <w:rFonts w:ascii="仿宋" w:hAnsi="仿宋" w:eastAsia="仿宋" w:cs="仿宋"/>
          <w:i w:val="false"/>
          <w:strike w:val="false"/>
          <w:color w:val="323232"/>
          <w:spacing w:val="0"/>
          <w:sz w:val="24"/>
          <w:u w:val="none"/>
        </w:rPr>
        <w:t>人文学院推荐优秀应届本科毕业生免试攻读硕士学位研究生工作小组</w:t>
      </w:r>
    </w:p>
    <w:p>
      <w:pPr>
        <w:snapToGrid/>
        <w:spacing w:line="240"/>
        <w:ind w:firstLine="5160"/>
        <w:jc w:val="right"/>
        <w:rPr/>
      </w:pPr>
      <w:r>
        <w:rPr>
          <w:rFonts w:ascii="仿宋" w:hAnsi="仿宋" w:eastAsia="仿宋" w:cs="仿宋"/>
          <w:i w:val="false"/>
          <w:strike w:val="false"/>
          <w:color w:val="323232"/>
          <w:spacing w:val="0"/>
          <w:sz w:val="24"/>
          <w:u w:val="none"/>
        </w:rPr>
        <w:t>二〇二四年十二月六日</w:t>
      </w:r>
    </w:p>
    <w:p>
      <w:pPr>
        <w:snapToGrid/>
        <w:spacing w:line="429"/>
        <w:ind w:hanging="0"/>
        <w:rPr/>
      </w:pPr>
    </w:p>
    <w:p>
      <w:pPr>
        <w:snapToGrid/>
        <w:spacing w:line="240"/>
        <w:ind/>
        <w:rPr/>
      </w:pPr>
    </w:p>
    <w:p>
      <w:pPr>
        <w:rPr/>
      </w:pPr>
    </w:p>
    <w:sectPr w:rsidR="009E7FC9">
      <w:pgSz w:w="11906" w:h="16838"/>
      <w:pgMar w:top="1440" w:right="1797" w:bottom="1440" w:left="1797" w:header="851" w:footer="992" w:gutter="0"/>
      <w:cols w:space="0"/>
      <w:docGrid w:type="lines" w:linePitch="387"/>
    </w:sectPr>
  </w:body>
</w:document>
</file>

<file path=word/fontTable.xml><?xml version="1.0" encoding="utf-8"?>
<w:fonts xmlns:w="http://schemas.openxmlformats.org/wordprocessingml/2006/main">
  <w:font w:name="Calibri">
    <w:panose1 w:val="020F0502020204030204"/>
    <w:charset w:val="00" w:characterSet="ISO-8859-1"/>
    <w:family w:val="swiss"/>
    <w:pitch w:val="variable"/>
    <w:sig w:usb0="00000003" w:usb1="00000000" w:usb2="00000001" w:usb3="00000000" w:csb0="0000019F" w:csb1="00000000"/>
  </w:font>
  <w:font w:name="Monaco">
    <w:altName w:val="Monaco"/>
    <w:panose1 w:val="00000000000000000000"/>
    <w:charset w:val="00" w:characterSet="ISO-8859-1"/>
    <w:family w:val="auto"/>
    <w:pitch w:val="variable"/>
    <w:sig w:usb0="A00002FF" w:usb1="500039FB" w:usb2="00000000" w:usb3="00000000" w:csb0="00000197" w:csb1="00000000"/>
  </w:font>
  <w:font w:name="Calibri Light">
    <w:panose1 w:val="020F0302020204030204"/>
    <w:charset w:val="00" w:characterSet="ISO-8859-1"/>
    <w:family w:val="swiss"/>
    <w:pitch w:val="variable"/>
    <w:sig w:usb0="A00002EF" w:usb1="4000207B" w:usb2="00000000" w:usb3="00000000" w:csb0="0000019F" w:csb1="00000000"/>
  </w:font>
  <w:font w:name="Arial">
    <w:panose1 w:val="020B0604020202020204"/>
    <w:charset w:val="00" w:characterSet="ISO-8859-1"/>
    <w:family w:val="swiss"/>
    <w:pitch w:val="variable"/>
    <w:sig w:usb0="E0000AFF" w:usb1="00007843" w:usb2="00000001" w:usb3="00000000" w:csb0="000001BF" w:csb1="00000000"/>
  </w:font>
  <w:font w:name="微软雅黑">
    <w:panose1 w:val="020B0503020204020204"/>
    <w:charset w:val="86" w:characterSet="ISO-8859-1"/>
    <w:family w:val="swiss"/>
    <w:pitch w:val="variable"/>
    <w:sig w:usb0="00000001" w:usb1="080E0000" w:usb2="00000016" w:usb3="00000000" w:csb0="0004001F" w:csb1="00000000"/>
  </w:font>
  <w:font w:name="Times New Roman">
    <w:panose1 w:val="02020603050405020304"/>
    <w:charset w:val="00" w:characterSet="ISO-8859-1"/>
    <w:family w:val="roman"/>
    <w:pitch w:val="variable"/>
    <w:sig w:usb0="20002A87" w:usb1="80000000" w:usb2="00000008" w:usb3="00000000" w:csb0="000001FF" w:csb1="00000000"/>
  </w:font>
</w:fonts>
</file>

<file path=word/numbering.xml><?xml version="1.0" encoding="utf-8"?>
<w:numbering xmlns:w="http://schemas.openxmlformats.org/wordprocessingml/2006/main">
  <w:abstractNum w:abstractNumId="1">
    <w:lvl w:ilvl="4">
      <w:start w:val="1"/>
      <w:numFmt w:val="bullet"/>
      <w:lvlText w:val="¡"/>
      <w:pPr>
        <w:ind w:leftChars="800" w:hanging="336"/>
      </w:pPr>
      <w:rPr>
        <w:rFonts w:hint="default" w:ascii="wingdings" w:hAnsi="wingdings" w:cs="wingdings"/>
      </w:rPr>
    </w:lvl>
    <w:lvl w:ilvl="1">
      <w:start w:val="1"/>
      <w:numFmt w:val="bullet"/>
      <w:lvlText w:val="¡"/>
      <w:pPr>
        <w:ind w:leftChars="200" w:hanging="336"/>
      </w:pPr>
      <w:rPr>
        <w:rFonts w:hint="default" w:ascii="wingdings" w:hAnsi="wingdings" w:cs="wingdings"/>
      </w:rPr>
    </w:lvl>
    <w:lvl w:ilvl="8">
      <w:start w:val="1"/>
      <w:numFmt w:val="bullet"/>
      <w:lvlText w:val=""/>
      <w:pPr>
        <w:ind w:leftChars="1600" w:hanging="336"/>
      </w:pPr>
      <w:rPr>
        <w:rFonts w:hint="default" w:ascii="wingdings" w:hAnsi="wingdings" w:cs="wingdings"/>
      </w:rPr>
    </w:lvl>
    <w:lvl w:ilvl="6">
      <w:start w:val="1"/>
      <w:numFmt w:val="bullet"/>
      <w:lvlText w:val=""/>
      <w:pPr>
        <w:ind w:leftChars="1200" w:hanging="0"/>
      </w:pPr>
      <w:rPr>
        <w:rFonts w:hint="default" w:ascii="wingdings" w:hAnsi="wingdings" w:cs="wingdings"/>
      </w:rPr>
    </w:lvl>
    <w:lvl w:ilvl="2">
      <w:start w:val="1"/>
      <w:numFmt w:val="bullet"/>
      <w:lvlText w:val=""/>
      <w:pPr>
        <w:ind w:leftChars="400" w:hanging="336"/>
      </w:pPr>
      <w:rPr>
        <w:rFonts w:hint="default" w:ascii="wingdings" w:hAnsi="wingdings" w:cs="wingdings"/>
      </w:rPr>
    </w:lvl>
    <w:lvl w:ilvl="3">
      <w:start w:val="1"/>
      <w:numFmt w:val="bullet"/>
      <w:lvlText w:val=""/>
      <w:pPr>
        <w:ind w:leftChars="600" w:hanging="0"/>
      </w:pPr>
      <w:rPr>
        <w:rFonts w:hint="default" w:ascii="wingdings" w:hAnsi="wingdings" w:cs="wingdings"/>
      </w:rPr>
    </w:lvl>
    <w:lvl w:ilvl="5">
      <w:start w:val="1"/>
      <w:numFmt w:val="bullet"/>
      <w:lvlText w:val=""/>
      <w:pPr>
        <w:ind w:leftChars="1000" w:hanging="336"/>
      </w:pPr>
      <w:rPr>
        <w:rFonts w:hint="default" w:ascii="wingdings" w:hAnsi="wingdings" w:cs="wingdings"/>
      </w:rPr>
    </w:lvl>
    <w:lvl w:ilvl="0">
      <w:start w:val="1"/>
      <w:numFmt w:val="bullet"/>
      <w:lvlText w:val=""/>
      <w:pPr>
        <w:ind/>
      </w:pPr>
      <w:rPr>
        <w:rFonts w:hint="default" w:ascii="wingdings" w:hAnsi="wingdings" w:cs="wingdings"/>
      </w:rPr>
    </w:lvl>
    <w:lvl w:ilvl="7">
      <w:start w:val="1"/>
      <w:numFmt w:val="bullet"/>
      <w:lvlText w:val="¡"/>
      <w:pPr>
        <w:ind w:leftChars="1400" w:hanging="336"/>
      </w:pPr>
      <w:rPr>
        <w:rFonts w:hint="default" w:ascii="wingdings" w:hAnsi="wingdings" w:cs="wingdings"/>
      </w:rPr>
    </w:lvl>
  </w:abstractNum>
  <w:num w:numId="1">
    <w:abstractNumId w:val="1"/>
  </w:num>
</w:numbering>
</file>

<file path=word/settings.xml><?xml version="1.0" encoding="utf-8"?>
<w:settings xmlns:w="http://schemas.openxmlformats.org/wordprocessingml/2006/main">
  <w:zoom w:percent="280"/>
  <w:embedSystemFonts/>
  <w:bordersDoNotSurroundHeader/>
  <w:bordersDoNotSurroundFooter/>
  <w:proofState w:spelling="clean" w:grammar="clean"/>
  <w:defaultTabStop w:val="420"/>
  <w:drawingGridHorizontalSpacing w:val="220"/>
  <w:drawingGridVerticalSpacing w:val="387"/>
  <w:displayHorizontalDrawingGridEvery w:val="0"/>
  <w:characterSpacingControl w:val="compressPunctuation"/>
  <w:compat>
    <w:spaceForUL/>
    <w:balanceSingleByteDoubleByteWidth/>
    <w:doNotLeaveBackslashAlone/>
    <w:ulTrailSpace/>
    <w:doNotExpandShiftReturn/>
    <w:adjustLineHeightInTable/>
    <w:useFELayout/>
    <w:compatSetting w:name="useWord2013TrackBottomHyphenation" w:uri="http://schemas.microsoft.com/office/word" w:val="1"/>
    <w:compatSetting w:name="overrideTableStyleFontSizeAndJustification" w:uri="http://schemas.microsoft.com/office/word" w:val="1"/>
    <w:compatSetting w:name="doNotFlipMirrorIndents" w:uri="http://schemas.microsoft.com/office/word" w:val="1"/>
    <w:compatSetting w:name="enableOpenTypeFeatures" w:uri="http://schemas.microsoft.com/office/word" w:val="1"/>
    <w:compatSetting w:name="differentiateMultirowTableHeaders" w:uri="http://schemas.microsoft.com/office/word" w:val="1"/>
    <w:compatSetting w:name="compatibilityMode" w:uri="http://schemas.microsoft.com/office/word" w:val="15"/>
  </w:compat>
  <w:rsids>
    <w:rsidRoot w:val="1AA24D9F"/>
    <w:rsid w:val="D5DE8897"/>
    <w:rsid w:val="E7FE3684"/>
    <w:rsid w:val="E95E2A0D"/>
    <w:rsid w:val="EFFF70E4"/>
    <w:rsid w:val="F7EEC240"/>
    <w:rsid w:val="FBF75102"/>
    <w:rsid w:val="FDDC5620"/>
    <w:rsid w:val="FDEA700A"/>
    <w:rsid w:val="FFBFCE42"/>
    <w:rsid w:val="FFFF40C2"/>
    <w:rsid w:val="000B62CA"/>
    <w:rsid w:val="002A53AA"/>
    <w:rsid w:val="005C35DE"/>
    <w:rsid w:val="00626AA2"/>
    <w:rsid w:val="0068574D"/>
    <w:rsid w:val="006E696F"/>
    <w:rsid w:val="0071681D"/>
    <w:rsid w:val="007C7A70"/>
    <w:rsid w:val="00890FE1"/>
    <w:rsid w:val="0090731C"/>
    <w:rsid w:val="009E7FC9"/>
    <w:rsid w:val="00A85D95"/>
    <w:rsid w:val="00AB1D25"/>
    <w:rsid w:val="00AD3D80"/>
    <w:rsid w:val="00B727BA"/>
    <w:rsid w:val="00BE0D57"/>
    <w:rsid w:val="00F50C8B"/>
    <w:rsid w:val="07011CC2"/>
    <w:rsid w:val="07644792"/>
    <w:rsid w:val="09284798"/>
    <w:rsid w:val="0F2B6FD9"/>
    <w:rsid w:val="183C240D"/>
    <w:rsid w:val="1AA24D9F"/>
    <w:rsid w:val="27FBD2E2"/>
    <w:rsid w:val="28DA2E89"/>
    <w:rsid w:val="2A4254F9"/>
    <w:rsid w:val="2D1F32F4"/>
    <w:rsid w:val="323B4D81"/>
    <w:rsid w:val="34B70380"/>
    <w:rsid w:val="3AE174A3"/>
    <w:rsid w:val="43446334"/>
    <w:rsid w:val="44A84E71"/>
    <w:rsid w:val="477DCE1E"/>
    <w:rsid w:val="573E1E21"/>
    <w:rsid w:val="5B487E91"/>
    <w:rsid w:val="5CF9550F"/>
    <w:rsid w:val="5EFEBDE8"/>
    <w:rsid w:val="68CA2609"/>
    <w:rsid w:val="68CC1AED"/>
    <w:rsid w:val="69BB0F42"/>
    <w:rsid w:val="6A637494"/>
    <w:rsid w:val="6BCF62E6"/>
    <w:rsid w:val="6CD3A16D"/>
    <w:rsid w:val="6D535020"/>
    <w:rsid w:val="6E5F49A6"/>
    <w:rsid w:val="6FFF37D2"/>
    <w:rsid w:val="70DE2EF1"/>
    <w:rsid w:val="7C5F4108"/>
    <w:rsid w:val="7F79C282"/>
    <w:rsid w:val="7F7B6CAE"/>
    <w:rsid w:val="7FBF6DD0"/>
    <w:rsid w:val="7FCD17FE"/>
    <w:rsid w:val="7FD7E9A0"/>
    <w:rsid w:val="7FE9FBB2"/>
    <w:rsid w:val="8FFFA67E"/>
    <w:rsid w:val="A97F623E"/>
    <w:rsid w:val="AFBF8780"/>
    <w:rsid w:val="BEEFCB4B"/>
    <w:rsid w:val="BFE6F841"/>
    <w:rsid w:val="BFFBDBCA"/>
  </w:rsids>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decimalSymbol w:val="."/>
  <w:listSeparator w:val=","/>
</w:settings>
</file>

<file path=word/styles.xml><?xml version="1.0" encoding="utf-8"?>
<w:styles xmlns:w="http://schemas.openxmlformats.org/wordprocessingml/2006/main">
  <w:docDefaults>
    <w:rPrDefault>
      <w:rPr>
        <w:rFonts w:ascii="Arial" w:hAnsi="Arial" w:eastAsia="微软雅黑" w:cs="Arial"/>
        <w:lang w:val="en-US" w:eastAsia="zh-CN" w:bidi="ar-SA"/>
      </w:rPr>
    </w:rPrDefault>
    <w:pPrDefault>
      <w:pPr/>
    </w:pPrDefault>
  </w:docDefaults>
  <w:latentStyles w:defLockedState="false" w:defUIPriority="0" w:defSemiHidden="false" w:defUnhideWhenUsed="false" w:defQFormat="false" w:count="376">
    <w:lsdException w:name="List Table 6 Colorful Accent 4" w:uiPriority="51"/>
    <w:lsdException w:name="Table Columns 1" w:semiHidden="true" w:unhideWhenUsed="true"/>
    <w:lsdException w:name="Grid Table 4 Accent 1" w:uiPriority="49"/>
    <w:lsdException w:name="Grid Table 7 Colorful" w:uiPriority="52"/>
    <w:lsdException w:name="Medium Grid 3 Accent 4" w:uiPriority="69"/>
    <w:lsdException w:name="Dark List Accent 3" w:uiPriority="70"/>
    <w:lsdException w:name="Grid Table 3" w:uiPriority="48"/>
    <w:lsdException w:name="Medium Grid 1 Accent 3" w:uiPriority="67"/>
    <w:lsdException w:name="Colorful Grid Accent 5" w:uiPriority="73"/>
    <w:lsdException w:name="Grid Table 6 Colorful Accent 2" w:uiPriority="51"/>
    <w:lsdException w:name="Medium Grid 3" w:uiPriority="69"/>
    <w:lsdException w:name="List Table 1 Light Accent 6" w:uiPriority="46"/>
    <w:lsdException w:name="Colorful List Accent 4" w:uiPriority="72"/>
    <w:lsdException w:name="No Spacing" w:uiPriority="99"/>
    <w:lsdException w:name="Table Grid 7" w:semiHidden="true" w:unhideWhenUsed="true"/>
    <w:lsdException w:name="Table Grid 5" w:semiHidden="true" w:unhideWhenUsed="true"/>
    <w:lsdException w:name="Table List 4" w:semiHidden="true" w:unhideWhenUsed="true"/>
    <w:lsdException w:name="Light List Accent 2" w:uiPriority="61"/>
    <w:lsdException w:name="toc 8" w:uiPriority="99"/>
    <w:lsdException w:name="Plain Table 1" w:uiPriority="41"/>
    <w:lsdException w:name="Medium Shading 2 Accent 6" w:uiPriority="64"/>
    <w:lsdException w:name="Table Simple 3" w:semiHidden="true" w:unhideWhenUsed="true"/>
    <w:lsdException w:name="Table List 6" w:semiHidden="true" w:unhideWhenUsed="true"/>
    <w:lsdException w:name="Grid Table 2" w:uiPriority="47"/>
    <w:lsdException w:name="Grid Table 1 Light Accent 2" w:uiPriority="46"/>
    <w:lsdException w:name="Table Grid 8" w:semiHidden="true" w:unhideWhenUsed="true"/>
    <w:lsdException w:name="List Table 3 Accent 6" w:uiPriority="48"/>
    <w:lsdException w:name="toc 3" w:uiPriority="99"/>
    <w:lsdException w:name="Grid Table 1 Light Accent 3" w:uiPriority="46"/>
    <w:lsdException w:name="List Table 2 Accent 6" w:uiPriority="47"/>
    <w:lsdException w:name="Medium List 2 Accent 4" w:uiPriority="66"/>
    <w:lsdException w:name="Medium Grid 1 Accent 2" w:uiPriority="67"/>
    <w:lsdException w:name="Table Grid" w:qFormat="true"/>
    <w:lsdException w:name="Table Colorful 2" w:semiHidden="true" w:unhideWhenUsed="true"/>
    <w:lsdException w:name="Grid Table 6 Colorful Accent 3" w:uiPriority="51"/>
    <w:lsdException w:name="List Table 5 Dark Accent 2" w:uiPriority="50"/>
    <w:lsdException w:name="Colorful Shading Accent 5" w:uiPriority="71"/>
    <w:lsdException w:name="Grid Table 2 Accent 5" w:uiPriority="47"/>
    <w:lsdException w:name="Medium Shading 2 Accent 5" w:uiPriority="64"/>
    <w:lsdException w:name="Medium Grid 1" w:uiPriority="67"/>
    <w:lsdException w:name="Table Columns 3" w:semiHidden="true" w:unhideWhenUsed="true"/>
    <w:lsdException w:name="List Table 2 Accent 2" w:uiPriority="47"/>
    <w:lsdException w:name="Table 3D effects 1" w:semiHidden="true" w:unhideWhenUsed="true"/>
    <w:lsdException w:name="Medium Shading 2 Accent 1" w:uiPriority="64"/>
    <w:lsdException w:name="toc 1" w:uiPriority="99"/>
    <w:lsdException w:name="List Table 4 Accent 1" w:uiPriority="49"/>
    <w:lsdException w:name="List Table 2 Accent 3" w:uiPriority="47"/>
    <w:lsdException w:name="Colorful List Accent 2" w:uiPriority="72"/>
    <w:lsdException w:name="Light List Accent 1" w:uiPriority="61"/>
    <w:lsdException w:name="Table List 7" w:semiHidden="true" w:unhideWhenUsed="true"/>
    <w:lsdException w:name="Light Grid" w:uiPriority="62"/>
    <w:lsdException w:name="Smart Link" w:uiPriority="99" w:semiHidden="true" w:unhideWhenUsed="true"/>
    <w:lsdException w:name="List Table 4" w:uiPriority="49"/>
    <w:lsdException w:name="heading 5" w:qFormat="true"/>
    <w:lsdException w:name="Table Web 2" w:semiHidden="true" w:unhideWhenUsed="true"/>
    <w:lsdException w:name="toc 6" w:uiPriority="99"/>
    <w:lsdException w:name="Dark List Accent 5" w:uiPriority="70"/>
    <w:lsdException w:name="Grid Table 5 Dark Accent 2" w:uiPriority="50"/>
    <w:lsdException w:name="Subtle Emphasis" w:uiPriority="19" w:qFormat="true"/>
    <w:lsdException w:name="Table List 2" w:semiHidden="true" w:unhideWhenUsed="true"/>
    <w:lsdException w:name="List Table 5 Dark Accent 5" w:uiPriority="50"/>
    <w:lsdException w:name="List Table 1 Light Accent 4" w:uiPriority="46"/>
    <w:lsdException w:name="HTML Definition" w:uiPriority="99"/>
    <w:lsdException w:name="Table List 3" w:semiHidden="true" w:unhideWhenUsed="true"/>
    <w:lsdException w:name="Grid Table 2 Accent 6" w:uiPriority="47"/>
    <w:lsdException w:name="List Table 2" w:uiPriority="47"/>
    <w:lsdException w:name="List Table 7 Colorful Accent 3" w:uiPriority="52"/>
    <w:lsdException w:name="Medium Shading 1 Accent 1" w:uiPriority="63"/>
    <w:lsdException w:name="Medium Grid 2 Accent 5" w:uiPriority="68"/>
    <w:lsdException w:name="Medium Grid 1 Accent 1" w:uiPriority="67"/>
    <w:lsdException w:name="Light Shading Accent 4" w:uiPriority="60"/>
    <w:lsdException w:name="toc 7" w:uiPriority="99"/>
    <w:lsdException w:name="Grid Table 4 Accent 2" w:uiPriority="49"/>
    <w:lsdException w:name="Grid Table 1 Light Accent 1" w:uiPriority="46"/>
    <w:lsdException w:name="Light Shading Accent 3" w:uiPriority="60"/>
    <w:lsdException w:name="Table Grid 1" w:semiHidden="true" w:unhideWhenUsed="true"/>
    <w:lsdException w:name="List Table 3 Accent 2" w:uiPriority="48"/>
    <w:lsdException w:name="Colorful Shading Accent 2" w:uiPriority="71"/>
    <w:lsdException w:name="TOC Heading" w:uiPriority="39" w:semiHidden="true" w:unhideWhenUsed="true" w:qFormat="true"/>
    <w:lsdException w:name="Medium Shading 2 Accent 3" w:uiPriority="64"/>
    <w:lsdException w:name="List Table 3 Accent 1" w:uiPriority="48"/>
    <w:lsdException w:name="List Table 6 Colorful" w:uiPriority="51"/>
    <w:lsdException w:name="Colorful List Accent 1" w:uiPriority="72"/>
    <w:lsdException w:name="List Table 3 Accent 3" w:uiPriority="48"/>
    <w:lsdException w:name="Grid Table 3 Accent 1" w:uiPriority="48"/>
    <w:lsdException w:name="Title" w:qFormat="true"/>
    <w:lsdException w:name="Colorful Grid" w:uiPriority="73"/>
    <w:lsdException w:name="Table Grid 2" w:semiHidden="true" w:unhideWhenUsed="true"/>
    <w:lsdException w:name="Colorful List Accent 6" w:uiPriority="72"/>
    <w:lsdException w:name="Light Grid Accent 3" w:uiPriority="62"/>
    <w:lsdException w:name="Grid Table 5 Dark Accent 6" w:uiPriority="50"/>
    <w:lsdException w:name="Medium Grid 2 Accent 1" w:uiPriority="68"/>
    <w:lsdException w:name="Grid Table 7 Colorful Accent 1" w:uiPriority="52"/>
    <w:lsdException w:name="Bibliography" w:uiPriority="37" w:semiHidden="true" w:unhideWhenUsed="true"/>
    <w:lsdException w:name="List Table 4 Accent 3" w:uiPriority="49"/>
    <w:lsdException w:name="Outline List 2" w:uiPriority="99" w:semiHidden="true" w:unhideWhenUsed="true"/>
    <w:lsdException w:name="Table Grid 4" w:semiHidden="true" w:unhideWhenUsed="true"/>
    <w:lsdException w:name="Table Colorful 3" w:semiHidden="true" w:unhideWhenUsed="true"/>
    <w:lsdException w:name="Medium Grid 2 Accent 6" w:uiPriority="68"/>
    <w:lsdException w:name="Table Subtle 1" w:semiHidden="true" w:unhideWhenUsed="true"/>
    <w:lsdException w:name="Light Shading" w:uiPriority="60"/>
    <w:lsdException w:name="Table Contemporary" w:semiHidden="true" w:unhideWhenUsed="true"/>
    <w:lsdException w:name="Light Grid Accent 6" w:uiPriority="62"/>
    <w:lsdException w:name="Revision" w:uiPriority="99" w:semiHidden="true"/>
    <w:lsdException w:name="List Table 7 Colorful Accent 5" w:uiPriority="52"/>
    <w:lsdException w:name="HTML Preformatted" w:uiPriority="99"/>
    <w:lsdException w:name="Medium Shading 1 Accent 6" w:uiPriority="63"/>
    <w:lsdException w:name="Default Paragraph Font" w:uiPriority="1" w:semiHidden="true" w:unhideWhenUsed="true"/>
    <w:lsdException w:name="List Table 1 Light Accent 1" w:uiPriority="46"/>
    <w:lsdException w:name="Emphasis" w:qFormat="true"/>
    <w:lsdException w:name="Table Columns 4" w:semiHidden="true" w:unhideWhenUsed="true"/>
    <w:lsdException w:name="Grid Table 5 Dark Accent 4" w:uiPriority="50"/>
    <w:lsdException w:name="Table Classic 4" w:semiHidden="true" w:unhideWhenUsed="true"/>
    <w:lsdException w:name="Medium List 1 Accent 3" w:uiPriority="65"/>
    <w:lsdException w:name="Medium List 1 Accent 1" w:uiPriority="65"/>
    <w:lsdException w:name="Light Shading Accent 1" w:uiPriority="60"/>
    <w:lsdException w:name="footnote reference" w:uiPriority="99" w:semiHidden="true" w:unhideWhenUsed="true"/>
    <w:lsdException w:name="List Table 7 Colorful Accent 1" w:uiPriority="52"/>
    <w:lsdException w:name="heading 8" w:unhideWhenUsed="true" w:qFormat="true"/>
    <w:lsdException w:name="Medium Shading 2 Accent 4" w:uiPriority="64"/>
    <w:lsdException w:name="Colorful Shading Accent 1" w:uiPriority="71"/>
    <w:lsdException w:name="List Table 5 Dark" w:uiPriority="50"/>
    <w:lsdException w:name="Grid Table 4 Accent 3" w:uiPriority="49"/>
    <w:lsdException w:name="Table 3D effects 3" w:semiHidden="true" w:unhideWhenUsed="true"/>
    <w:lsdException w:name="Colorful List Accent 3" w:uiPriority="72"/>
    <w:lsdException w:name="Grid Table 1 Light Accent 5" w:uiPriority="46"/>
    <w:lsdException w:name="Grid Table 5 Dark Accent 3" w:uiPriority="50"/>
    <w:lsdException w:name="List Table 4 Accent 4" w:uiPriority="49"/>
    <w:lsdException w:name="List Table 3 Accent 4" w:uiPriority="48"/>
    <w:lsdException w:name="toc 4" w:uiPriority="99"/>
    <w:lsdException w:name="Table Subtle 2" w:semiHidden="true" w:unhideWhenUsed="true"/>
    <w:lsdException w:name="List Table 3" w:uiPriority="48"/>
    <w:lsdException w:name="Normal Table" w:uiPriority="99" w:semiHidden="true" w:unhideWhenUsed="true"/>
    <w:lsdException w:name="footnote text" w:uiPriority="99" w:semiHidden="true" w:unhideWhenUsed="true"/>
    <w:lsdException w:name="HTML Code" w:uiPriority="99"/>
    <w:lsdException w:name="Table Professional" w:semiHidden="true" w:unhideWhenUsed="true"/>
    <w:lsdException w:name="Table Grid 3" w:semiHidden="true" w:unhideWhenUsed="true"/>
    <w:lsdException w:name="List Table 1 Light Accent 3" w:uiPriority="46"/>
    <w:lsdException w:name="Grid Table 2 Accent 4" w:uiPriority="47"/>
    <w:lsdException w:name="heading 6" w:qFormat="true"/>
    <w:lsdException w:name="Light Grid Accent 2" w:uiPriority="62"/>
    <w:lsdException w:name="List Table 4 Accent 5" w:uiPriority="49"/>
    <w:lsdException w:name="Grid Table 2 Accent 1" w:uiPriority="47"/>
    <w:lsdException w:name="Outline List 3" w:uiPriority="99" w:semiHidden="true" w:unhideWhenUsed="true"/>
    <w:lsdException w:name="Colorful Grid Accent 6" w:uiPriority="73"/>
    <w:lsdException w:name="Medium List 2 Accent 6" w:uiPriority="66"/>
    <w:lsdException w:name="Grid Table 4" w:uiPriority="49"/>
    <w:lsdException w:name="Light List Accent 3" w:uiPriority="61"/>
    <w:lsdException w:name="toc 2" w:uiPriority="99"/>
    <w:lsdException w:name="Medium List 1 Accent 6" w:uiPriority="65"/>
    <w:lsdException w:name="Placeholder Text" w:uiPriority="99" w:semiHidden="true"/>
    <w:lsdException w:name="Grid Table 5 Dark" w:uiPriority="50"/>
    <w:lsdException w:name="heading 1" w:qFormat="true"/>
    <w:lsdException w:name="Mention" w:uiPriority="99" w:semiHidden="true" w:unhideWhenUsed="true"/>
    <w:lsdException w:name="Grid Table 6 Colorful" w:uiPriority="51"/>
    <w:lsdException w:name="Normal" w:qFormat="true"/>
    <w:lsdException w:name="caption" w:semiHidden="true" w:unhideWhenUsed="true" w:qFormat="true"/>
    <w:lsdException w:name="List Table 5 Dark Accent 1" w:uiPriority="50"/>
    <w:lsdException w:name="Grid Table 7 Colorful Accent 2" w:uiPriority="52"/>
    <w:lsdException w:name="Colorful Grid Accent 2" w:uiPriority="73"/>
    <w:lsdException w:name="Medium Grid 2 Accent 4" w:uiPriority="68"/>
    <w:lsdException w:name="List Table 4 Accent 2" w:uiPriority="49"/>
    <w:lsdException w:name="Colorful Shading Accent 4" w:uiPriority="71"/>
    <w:lsdException w:name="Quote" w:uiPriority="99"/>
    <w:lsdException w:name="Subtitle" w:qFormat="true"/>
    <w:lsdException w:name="List Paragraph" w:uiPriority="99"/>
    <w:lsdException w:name="Subtle Reference" w:uiPriority="31" w:qFormat="true"/>
    <w:lsdException w:name="Medium Shading 1 Accent 4" w:uiPriority="63"/>
    <w:lsdException w:name="Table List 8" w:semiHidden="true" w:unhideWhenUsed="true"/>
    <w:lsdException w:name="Medium List 2 Accent 5" w:uiPriority="66"/>
    <w:lsdException w:name="Table Classic 2" w:semiHidden="true" w:unhideWhenUsed="true"/>
    <w:lsdException w:name="Unresolved Mention" w:uiPriority="99" w:semiHidden="true" w:unhideWhenUsed="true"/>
    <w:lsdException w:name="Light List Accent 4" w:uiPriority="61"/>
    <w:lsdException w:name="List Table 7 Colorful Accent 4" w:uiPriority="52"/>
    <w:lsdException w:name="List Table 7 Colorful Accent 6" w:uiPriority="52"/>
    <w:lsdException w:name="List Table 2 Accent 5" w:uiPriority="47"/>
    <w:lsdException w:name="Colorful Shading Accent 3" w:uiPriority="71"/>
    <w:lsdException w:name="Table Elegant" w:semiHidden="true" w:unhideWhenUsed="true"/>
    <w:lsdException w:name="Grid Table 4 Accent 4" w:uiPriority="49"/>
    <w:lsdException w:name="Medium Grid 3 Accent 2" w:uiPriority="69"/>
    <w:lsdException w:name="heading 2" w:qFormat="true"/>
    <w:lsdException w:name="Grid Table 6 Colorful Accent 6" w:uiPriority="51"/>
    <w:lsdException w:name="Medium Shading 2" w:uiPriority="64"/>
    <w:lsdException w:name="Table Columns 5" w:semiHidden="true" w:unhideWhenUsed="true"/>
    <w:lsdException w:name="Light Shading Accent 5" w:uiPriority="60"/>
    <w:lsdException w:name="HTML Acronym" w:uiPriority="99"/>
    <w:lsdException w:name="No List" w:uiPriority="99" w:semiHidden="true" w:unhideWhenUsed="true"/>
    <w:lsdException w:name="Medium List 2 Accent 3" w:uiPriority="66"/>
    <w:lsdException w:name="Intense Quote" w:uiPriority="99"/>
    <w:lsdException w:name="List Table 7 Colorful Accent 2" w:uiPriority="52"/>
    <w:lsdException w:name="Table Simple 1" w:semiHidden="true" w:unhideWhenUsed="true"/>
    <w:lsdException w:name="Medium List 1 Accent 5" w:uiPriority="65"/>
    <w:lsdException w:name="Grid Table 3 Accent 3" w:uiPriority="48"/>
    <w:lsdException w:name="Colorful List" w:uiPriority="72"/>
    <w:lsdException w:name="Plain Table 4" w:uiPriority="44"/>
    <w:lsdException w:name="Grid Table 4 Accent 6" w:uiPriority="49"/>
    <w:lsdException w:name="Table Classic 1" w:semiHidden="true" w:unhideWhenUsed="true"/>
    <w:lsdException w:name="Medium Shading 1 Accent 2" w:uiPriority="63"/>
    <w:lsdException w:name="Grid Table 1 Light Accent 6" w:uiPriority="46"/>
    <w:lsdException w:name="Medium Shading 1 Accent 5" w:uiPriority="63"/>
    <w:lsdException w:name="List Table 6 Colorful Accent 3" w:uiPriority="51"/>
    <w:lsdException w:name="List Table 1 Light" w:uiPriority="46"/>
    <w:lsdException w:name="heading 4" w:qFormat="true"/>
    <w:lsdException w:name="Medium Grid 3 Accent 5" w:uiPriority="69"/>
    <w:lsdException w:name="Dark List Accent 4" w:uiPriority="70"/>
    <w:lsdException w:name="List Table 5 Dark Accent 6" w:uiPriority="50"/>
    <w:lsdException w:name="Grid Table 7 Colorful Accent 6" w:uiPriority="52"/>
    <w:lsdException w:name="Medium Grid 1 Accent 6" w:uiPriority="67"/>
    <w:lsdException w:name="Outline List 1" w:uiPriority="99" w:semiHidden="true" w:unhideWhenUsed="true"/>
    <w:lsdException w:name="HTML Sample" w:uiPriority="99"/>
    <w:lsdException w:name="Table List 1" w:semiHidden="true" w:unhideWhenUsed="true"/>
    <w:lsdException w:name="Grid Table 2 Accent 2" w:uiPriority="47"/>
    <w:lsdException w:name="List Table 2 Accent 1" w:uiPriority="47"/>
    <w:lsdException w:name="Light Grid Accent 1" w:uiPriority="62"/>
    <w:lsdException w:name="Intense Reference" w:uiPriority="32" w:qFormat="true"/>
    <w:lsdException w:name="Light List Accent 6" w:uiPriority="61"/>
    <w:lsdException w:name="Plain Table 5" w:uiPriority="45"/>
    <w:lsdException w:name="Book Title" w:uiPriority="33" w:qFormat="true"/>
    <w:lsdException w:name="Hashtag" w:uiPriority="99" w:semiHidden="true" w:unhideWhenUsed="true"/>
    <w:lsdException w:name="Table Web 1" w:semiHidden="true" w:unhideWhenUsed="true"/>
    <w:lsdException w:name="heading 7" w:unhideWhenUsed="true" w:qFormat="true"/>
    <w:lsdException w:name="List Table 1 Light Accent 2" w:uiPriority="46"/>
    <w:lsdException w:name="Medium Grid 3 Accent 6" w:uiPriority="69"/>
    <w:lsdException w:name="Colorful Grid Accent 4" w:uiPriority="73"/>
    <w:lsdException w:name="Intense Emphasis" w:uiPriority="21" w:qFormat="true"/>
    <w:lsdException w:name="toc 9" w:uiPriority="99"/>
    <w:lsdException w:name="HTML Cite" w:uiPriority="99"/>
    <w:lsdException w:name="Medium Grid 2 Accent 3" w:uiPriority="68"/>
    <w:lsdException w:name="Grid Table 6 Colorful Accent 5" w:uiPriority="51"/>
    <w:lsdException w:name="Table Colorful 1" w:semiHidden="true" w:unhideWhenUsed="true"/>
    <w:lsdException w:name="List Table 4 Accent 6" w:uiPriority="49"/>
    <w:lsdException w:name="Light Shading Accent 2" w:uiPriority="60"/>
    <w:lsdException w:name="Medium Grid 3 Accent 1" w:uiPriority="69"/>
    <w:lsdException w:name="Grid Table 7 Colorful Accent 5" w:uiPriority="52"/>
    <w:lsdException w:name="Light Grid Accent 4" w:uiPriority="62"/>
    <w:lsdException w:name="Grid Table 1 Light" w:uiPriority="46"/>
    <w:lsdException w:name="Medium Grid 1 Accent 5" w:uiPriority="67"/>
    <w:lsdException w:name="Table List 5" w:semiHidden="true" w:unhideWhenUsed="true"/>
    <w:lsdException w:name="List Table 6 Colorful Accent 1" w:uiPriority="51"/>
    <w:lsdException w:name="Grid Table 2 Accent 3" w:uiPriority="47"/>
    <w:lsdException w:name="Grid Table 1 Light Accent 4" w:uiPriority="46"/>
    <w:lsdException w:name="HTML Top of Form" w:uiPriority="99" w:semiHidden="true" w:unhideWhenUsed="true"/>
    <w:lsdException w:name="Medium List 1 Accent 2" w:uiPriority="65"/>
    <w:lsdException w:name="Grid Table 3 Accent 2" w:uiPriority="48"/>
    <w:lsdException w:name="Medium Grid 1 Accent 4" w:uiPriority="67"/>
    <w:lsdException w:name="Medium Grid 2 Accent 2" w:uiPriority="68"/>
    <w:lsdException w:name="Colorful List Accent 5" w:uiPriority="72"/>
    <w:lsdException w:name="Table Classic 3" w:semiHidden="true" w:unhideWhenUsed="true"/>
    <w:lsdException w:name="Plain Table 3" w:uiPriority="43"/>
    <w:lsdException w:name="Light List Accent 5" w:uiPriority="61"/>
    <w:lsdException w:name="List Table 1 Light Accent 5" w:uiPriority="46"/>
    <w:lsdException w:name="Grid Table 6 Colorful Accent 1" w:uiPriority="51"/>
    <w:lsdException w:name="Grid Table 5 Dark Accent 1" w:uiPriority="50"/>
    <w:lsdException w:name="Medium Shading 2 Accent 2" w:uiPriority="64"/>
    <w:lsdException w:name="Table Web 3" w:semiHidden="true" w:unhideWhenUsed="true"/>
    <w:lsdException w:name="Table 3D effects 2" w:semiHidden="true" w:unhideWhenUsed="true"/>
    <w:lsdException w:name="Table Columns 2" w:semiHidden="true" w:unhideWhenUsed="true"/>
    <w:lsdException w:name="Medium Grid 2" w:uiPriority="68"/>
    <w:lsdException w:name="Grid Table 3 Accent 6" w:uiPriority="48"/>
    <w:lsdException w:name="Light Grid Accent 5" w:uiPriority="62"/>
    <w:lsdException w:name="Table Grid 6" w:semiHidden="true" w:unhideWhenUsed="true"/>
    <w:lsdException w:name="Grid Table 4 Accent 5" w:uiPriority="49"/>
    <w:lsdException w:name="Medium List 2 Accent 1" w:uiPriority="66"/>
    <w:lsdException w:name="Medium List 1 Accent 4" w:uiPriority="65"/>
    <w:lsdException w:name="Light Shading Accent 6" w:uiPriority="60"/>
    <w:lsdException w:name="Smart Hyperlink" w:uiPriority="99" w:semiHidden="true" w:unhideWhenUsed="true"/>
    <w:lsdException w:name="Table Simple 2" w:semiHidden="true" w:unhideWhenUsed="true"/>
    <w:lsdException w:name="Dark List Accent 6" w:uiPriority="70"/>
    <w:lsdException w:name="Medium List 2 Accent 2" w:uiPriority="66"/>
    <w:lsdException w:name="heading 9" w:unhideWhenUsed="true" w:qFormat="true"/>
    <w:lsdException w:name="List Table 2 Accent 4" w:uiPriority="47"/>
    <w:lsdException w:name="Medium List 2" w:uiPriority="66"/>
    <w:lsdException w:name="toc 5" w:uiPriority="99"/>
    <w:lsdException w:name="Grid Table 6 Colorful Accent 4" w:uiPriority="51"/>
    <w:lsdException w:name="Colorful Shading Accent 6" w:uiPriority="71"/>
    <w:lsdException w:name="Grid Table 7 Colorful Accent 3" w:uiPriority="52"/>
    <w:lsdException w:name="Grid Table 3 Accent 5" w:uiPriority="48"/>
    <w:lsdException w:name="Colorful Grid Accent 3" w:uiPriority="73"/>
    <w:lsdException w:name="Dark List Accent 2" w:uiPriority="70"/>
    <w:lsdException w:name="List Table 6 Colorful Accent 6" w:uiPriority="51"/>
    <w:lsdException w:name="Grid Table Light" w:uiPriority="40"/>
    <w:lsdException w:name="Colorful Shading" w:uiPriority="71"/>
    <w:lsdException w:name="Medium Shading 1 Accent 3" w:uiPriority="63"/>
    <w:lsdException w:name="Light List" w:uiPriority="61"/>
    <w:lsdException w:name="Medium Grid 3 Accent 3" w:uiPriority="69"/>
    <w:lsdException w:name="HTML Variable" w:uiPriority="99"/>
    <w:lsdException w:name="Medium List 1" w:uiPriority="65"/>
    <w:lsdException w:name="Grid Table 7 Colorful Accent 4" w:uiPriority="52"/>
    <w:lsdException w:name="List Table 6 Colorful Accent 5" w:uiPriority="51"/>
    <w:lsdException w:name="List Table 7 Colorful" w:uiPriority="52"/>
    <w:lsdException w:name="List Table 5 Dark Accent 4" w:uiPriority="50"/>
    <w:lsdException w:name="heading 3" w:qFormat="true"/>
    <w:lsdException w:name="Grid Table 3 Accent 4" w:uiPriority="48"/>
    <w:lsdException w:name="HTML Bottom of Form" w:uiPriority="99" w:semiHidden="true" w:unhideWhenUsed="true"/>
    <w:lsdException w:name="Plain Table 2" w:uiPriority="42"/>
    <w:lsdException w:name="Medium Shading 1" w:uiPriority="63"/>
    <w:lsdException w:name="Dark List" w:uiPriority="70"/>
    <w:lsdException w:name="List Table 6 Colorful Accent 2" w:uiPriority="51"/>
    <w:lsdException w:name="Strong" w:qFormat="true"/>
    <w:lsdException w:name="Dark List Accent 1" w:uiPriority="70"/>
    <w:lsdException w:name="List Table 3 Accent 5" w:uiPriority="48"/>
    <w:lsdException w:name="HTML Address" w:uiPriority="99"/>
    <w:lsdException w:name="Table Theme" w:semiHidden="true" w:unhideWhenUsed="true"/>
    <w:lsdException w:name="Colorful Grid Accent 1" w:uiPriority="73"/>
    <w:lsdException w:name="HTML Keyboard" w:uiPriority="99"/>
    <w:lsdException w:name="Grid Table 5 Dark Accent 5" w:uiPriority="50"/>
    <w:lsdException w:name="List Table 5 Dark Accent 3" w:uiPriority="50"/>
    <w:lsdException w:name="HTML Typewriter" w:uiPriority="99"/>
  </w:latentStyles>
  <w:style w:type="paragraph" w:styleId="000018" w:customStyle="true">
    <w:name w:val="melo-codeblock-Base-theme-para"/>
    <w:uiPriority w:val="99"/>
    <w:pPr>
      <w:snapToGrid w:val="false"/>
      <w:spacing w:line="360" w:lineRule="auto"/>
    </w:pPr>
    <w:rPr>
      <w:rFonts w:ascii="Monaco" w:hAnsi="Monaco" w:eastAsia="Monaco" w:cs="Monaco"/>
      <w:color w:val="000000"/>
      <w:sz w:val="21"/>
    </w:rPr>
  </w:style>
  <w:style w:type="paragraph" w:styleId="000002">
    <w:name w:val="heading 1"/>
    <w:basedOn w:val="000001"/>
    <w:next w:val="000001"/>
    <w:qFormat/>
    <w:pPr>
      <w:keepNext/>
      <w:keepLines/>
      <w:outlineLvl w:val="0"/>
    </w:pPr>
    <w:rPr>
      <w:b/>
      <w:kern w:val="44"/>
      <w:sz w:val="36"/>
    </w:rPr>
  </w:style>
  <w:style w:type="character" w:styleId="000016">
    <w:name w:val="Hyperlink"/>
    <w:basedOn w:val="00000b"/>
    <w:rPr>
      <w:color w:val="1E6FFF"/>
      <w:u w:val="single"/>
    </w:rPr>
  </w:style>
  <w:style w:type="character" w:styleId="000014" w:customStyle="true">
    <w:name w:val="标题 字符"/>
    <w:basedOn w:val="00000b"/>
    <w:link w:val="000013"/>
    <w:rPr>
      <w:rFonts w:ascii="Arial" w:hAnsi="Arial" w:eastAsia="微软雅黑" w:cstheme="majorBidi"/>
      <w:b/>
      <w:bCs/>
      <w:kern w:val="2"/>
      <w:sz w:val="48"/>
      <w:szCs w:val="32"/>
    </w:rPr>
  </w:style>
  <w:style w:type="character" w:styleId="00000b" w:default="true">
    <w:name w:val="Default Paragraph Font"/>
    <w:uiPriority w:val="1"/>
    <w:semiHidden/>
    <w:unhideWhenUsed/>
  </w:style>
  <w:style w:type="character" w:styleId="000017" w:customStyle="true">
    <w:name w:val="melo-codeblock-Base-theme-char"/>
    <w:uiPriority w:val="99"/>
    <w:rPr>
      <w:rFonts w:ascii="Monaco" w:hAnsi="Monaco" w:eastAsia="Monaco" w:cs="Monaco"/>
      <w:color w:val="000000"/>
      <w:sz w:val="21"/>
    </w:rPr>
  </w:style>
  <w:style w:type="paragraph" w:styleId="00000e">
    <w:name w:val="toc 8"/>
    <w:basedOn w:val="000001"/>
    <w:next w:val="000001"/>
    <w:autoRedefine/>
    <w:uiPriority w:val="99"/>
    <w:pPr>
      <w:ind w:left="2940" w:leftChars="1400"/>
    </w:pPr>
  </w:style>
  <w:style w:type="paragraph" w:styleId="000011">
    <w:name w:val="Subtitle"/>
    <w:basedOn w:val="000001"/>
    <w:next w:val="000001"/>
    <w:link w:val="000012"/>
    <w:qFormat/>
    <w:pPr>
      <w:jc w:val="center"/>
      <w:outlineLvl w:val="1"/>
    </w:pPr>
    <w:rPr>
      <w:rFonts w:cstheme="minorBidi"/>
      <w:b/>
      <w:bCs/>
      <w:kern w:val="28"/>
      <w:sz w:val="44"/>
      <w:szCs w:val="32"/>
    </w:rPr>
  </w:style>
  <w:style w:type="paragraph" w:styleId="000007">
    <w:name w:val="heading 6"/>
    <w:basedOn w:val="000001"/>
    <w:next w:val="000001"/>
    <w:qFormat/>
    <w:pPr>
      <w:keepNext/>
      <w:keepLines/>
      <w:spacing w:line="480" w:lineRule="auto"/>
      <w:outlineLvl w:val="5"/>
    </w:pPr>
    <w:rPr>
      <w:b/>
    </w:rPr>
  </w:style>
  <w:style w:type="paragraph" w:styleId="00000f">
    <w:name w:val="footer"/>
    <w:basedOn w:val="000001"/>
    <w:pPr>
      <w:tabs>
        <w:tab w:val="center" w:pos="4153"/>
        <w:tab w:val="right" w:pos="8306"/>
      </w:tabs>
      <w:snapToGrid w:val="false"/>
      <w:jc w:val="center"/>
    </w:pPr>
    <w:rPr>
      <w:sz w:val="18"/>
      <w:szCs w:val="18"/>
    </w:rPr>
  </w:style>
  <w:style w:type="paragraph" w:styleId="000006">
    <w:name w:val="heading 5"/>
    <w:basedOn w:val="000001"/>
    <w:next w:val="000001"/>
    <w:qFormat/>
    <w:pPr>
      <w:keepNext/>
      <w:keepLines/>
      <w:spacing w:line="480" w:lineRule="auto"/>
      <w:outlineLvl w:val="4"/>
    </w:pPr>
    <w:rPr>
      <w:b/>
    </w:rPr>
  </w:style>
  <w:style w:type="paragraph" w:styleId="000004">
    <w:name w:val="heading 3"/>
    <w:basedOn w:val="000001"/>
    <w:next w:val="000001"/>
    <w:qFormat/>
    <w:pPr>
      <w:keepNext/>
      <w:keepLines/>
      <w:outlineLvl w:val="2"/>
    </w:pPr>
    <w:rPr>
      <w:b/>
      <w:sz w:val="28"/>
    </w:rPr>
  </w:style>
  <w:style w:type="character" w:styleId="000012" w:customStyle="true">
    <w:name w:val="副标题 字符"/>
    <w:basedOn w:val="00000b"/>
    <w:link w:val="000011"/>
    <w:rPr>
      <w:rFonts w:ascii="Arial" w:hAnsi="Arial" w:eastAsia="微软雅黑" w:cstheme="minorBidi"/>
      <w:b/>
      <w:bCs/>
      <w:kern w:val="28"/>
      <w:sz w:val="44"/>
      <w:szCs w:val="32"/>
    </w:rPr>
  </w:style>
  <w:style w:type="paragraph" w:styleId="00000a">
    <w:name w:val="heading 9"/>
    <w:basedOn w:val="000001"/>
    <w:next w:val="000001"/>
    <w:unhideWhenUsed/>
    <w:qFormat/>
    <w:pPr>
      <w:keepNext/>
      <w:keepLines/>
      <w:spacing w:line="480" w:lineRule="auto"/>
      <w:outlineLvl w:val="8"/>
    </w:pPr>
    <w:rPr>
      <w:b/>
    </w:rPr>
  </w:style>
  <w:style w:type="paragraph" w:styleId="000010">
    <w:name w:val="header"/>
    <w:basedOn w:val="000001"/>
    <w:pPr>
      <w:pBdr>
        <w:bottom w:val="single" w:color="auto" w:sz="6" w:space="1"/>
      </w:pBdr>
      <w:tabs>
        <w:tab w:val="center" w:pos="4153"/>
        <w:tab w:val="right" w:pos="8306"/>
      </w:tabs>
      <w:snapToGrid w:val="false"/>
      <w:jc w:val="center"/>
    </w:pPr>
    <w:rPr>
      <w:sz w:val="18"/>
      <w:szCs w:val="18"/>
    </w:rPr>
  </w:style>
  <w:style w:type="table" w:styleId="00000c" w:default="true">
    <w:name w:val="Normal Table"/>
    <w:uiPriority w:val="99"/>
    <w:semiHidden/>
    <w:unhideWhenUsed/>
    <w:tblPr>
      <w:tblInd w:w="0" w:type="dxa"/>
      <w:tblCellMar>
        <w:top w:w="0" w:type="dxa"/>
        <w:left w:w="108" w:type="dxa"/>
        <w:bottom w:w="0" w:type="dxa"/>
        <w:right w:w="108" w:type="dxa"/>
      </w:tblCellMar>
    </w:tblPr>
  </w:style>
  <w:style w:type="paragraph" w:styleId="000008">
    <w:name w:val="heading 7"/>
    <w:basedOn w:val="000001"/>
    <w:next w:val="000001"/>
    <w:unhideWhenUsed/>
    <w:qFormat/>
    <w:pPr>
      <w:keepNext/>
      <w:keepLines/>
      <w:spacing w:line="480" w:lineRule="auto"/>
      <w:outlineLvl w:val="6"/>
    </w:pPr>
    <w:rPr>
      <w:b/>
    </w:rPr>
  </w:style>
  <w:style w:type="table" w:styleId="000015">
    <w:name w:val="Table Grid"/>
    <w:basedOn w:val="00000c"/>
    <w:tblPr>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Pr>
    <w:tcPr>
      <w:vAlign w:val="center"/>
    </w:tcPr>
  </w:style>
  <w:style w:type="paragraph" w:styleId="000009">
    <w:name w:val="heading 8"/>
    <w:basedOn w:val="000001"/>
    <w:next w:val="000001"/>
    <w:unhideWhenUsed/>
    <w:qFormat/>
    <w:pPr>
      <w:keepNext/>
      <w:keepLines/>
      <w:spacing w:line="480" w:lineRule="auto"/>
      <w:outlineLvl w:val="7"/>
    </w:pPr>
    <w:rPr>
      <w:b/>
    </w:rPr>
  </w:style>
  <w:style w:type="paragraph" w:styleId="000005">
    <w:name w:val="heading 4"/>
    <w:basedOn w:val="000001"/>
    <w:next w:val="000001"/>
    <w:qFormat/>
    <w:pPr>
      <w:keepNext/>
      <w:keepLines/>
      <w:outlineLvl w:val="3"/>
    </w:pPr>
    <w:rPr>
      <w:b/>
      <w:sz w:val="24"/>
    </w:rPr>
  </w:style>
  <w:style w:type="numbering" w:styleId="00000d" w:default="true">
    <w:name w:val="No List"/>
    <w:uiPriority w:val="99"/>
    <w:semiHidden/>
    <w:unhideWhenUsed/>
  </w:style>
  <w:style w:type="paragraph" w:styleId="000013">
    <w:name w:val="Title"/>
    <w:basedOn w:val="000001"/>
    <w:next w:val="000001"/>
    <w:link w:val="000014"/>
    <w:qFormat/>
    <w:pPr>
      <w:jc w:val="center"/>
      <w:outlineLvl w:val="0"/>
    </w:pPr>
    <w:rPr>
      <w:rFonts w:cstheme="majorBidi"/>
      <w:b/>
      <w:bCs/>
      <w:sz w:val="48"/>
      <w:szCs w:val="32"/>
    </w:rPr>
  </w:style>
  <w:style w:type="paragraph" w:styleId="000001" w:default="true">
    <w:name w:val="Normal"/>
    <w:qFormat/>
    <w:pPr>
      <w:widowControl w:val="false"/>
      <w:spacing w:before="60" w:after="60"/>
      <w:jc w:val="both"/>
    </w:pPr>
    <w:rPr>
      <w:color w:val="333333"/>
      <w:kern w:val="2"/>
      <w:sz w:val="22"/>
      <w:szCs w:val="24"/>
    </w:rPr>
  </w:style>
  <w:style w:type="paragraph" w:styleId="000003">
    <w:name w:val="heading 2"/>
    <w:basedOn w:val="000001"/>
    <w:next w:val="000001"/>
    <w:qFormat/>
    <w:pPr>
      <w:keepNext/>
      <w:keepLines/>
      <w:outlineLvl w:val="1"/>
    </w:pPr>
    <w:rPr>
      <w:b/>
      <w:sz w:val="32"/>
    </w:rPr>
  </w:style>
</w:styles>
</file>

<file path=word/_rels/document.xml.rels><?xml version="1.0" encoding="UTF-8" standalone="yes"?><Relationships xmlns="http://schemas.openxmlformats.org/package/2006/relationships"><Relationship Id="rId9" Type="http://schemas.openxmlformats.org/officeDocument/2006/relationships/image" Target="media/image5.png" /><Relationship Id="rId7" Type="http://schemas.openxmlformats.org/officeDocument/2006/relationships/image" Target="media/image3.png" /><Relationship Id="rId6" Type="http://schemas.openxmlformats.org/officeDocument/2006/relationships/image" Target="media/image2.png" /><Relationship Id="rId4" Type="http://schemas.openxmlformats.org/officeDocument/2006/relationships/numbering" Target="numbering.xml" /><Relationship Id="rId3" Type="http://schemas.openxmlformats.org/officeDocument/2006/relationships/theme" Target="theme/theme1.xml" /><Relationship Id="rId2" Type="http://schemas.openxmlformats.org/officeDocument/2006/relationships/fontTable" Target="fontTable.xml" /><Relationship Id="rId1" Type="http://schemas.openxmlformats.org/officeDocument/2006/relationships/settings" Target="settings.xml" /><Relationship Id="rId14" Type="http://schemas.openxmlformats.org/officeDocument/2006/relationships/image" Target="media/image10.png" /><Relationship Id="rId13" Type="http://schemas.openxmlformats.org/officeDocument/2006/relationships/image" Target="media/image9.png" /><Relationship Id="rId5" Type="http://schemas.openxmlformats.org/officeDocument/2006/relationships/image" Target="media/image1.png" /><Relationship Id="rId0" Type="http://schemas.openxmlformats.org/officeDocument/2006/relationships/styles" Target="styles.xml" /><Relationship Id="rId10" Type="http://schemas.openxmlformats.org/officeDocument/2006/relationships/image" Target="media/image6.png" /><Relationship Id="rId11" Type="http://schemas.openxmlformats.org/officeDocument/2006/relationships/image" Target="media/image7.png" /><Relationship Id="rId8" Type="http://schemas.openxmlformats.org/officeDocument/2006/relationships/image" Target="media/image4.png" /><Relationship Id="rId12" Type="http://schemas.openxmlformats.org/officeDocument/2006/relationships/image" Target="media/image8.pn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1E6FFF"/>
      </a:hlink>
      <a:folHlink>
        <a:srgbClr val="954F72"/>
      </a:folHlink>
    </a:clrScheme>
    <a:fontScheme name="Office">
      <a:majorFont>
        <a:latin typeface="Calibri Light"/>
        <a:ea typeface=""/>
        <a:cs typeface=""/>
        <a:font script="Jpan" typeface="ＭＳ ゴシック"/>
        <a:font script="Hang" typeface="맑은 고딕"/>
        <a:font script="Hans" typeface="微软雅黑"/>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微软雅黑"/>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false">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Application>Tencent office</Application>
</Properties>
</file>

<file path=docProps/core.xml><?xml version="1.0" encoding="utf-8"?>
<cp:coreProperties xmlns:xsi="http://www.w3.org/2001/XMLSchema-instance" xmlns:dcmitype="http://purl.org/dc/dcmitype/" xmlns:dcterms="http://purl.org/dc/terms/" xmlns:cp="http://schemas.openxmlformats.org/package/2006/metadata/core-properties" xmlns:dc="http://purl.org/dc/elements/1.1/">
  <dcterms:created xsi:type="dcterms:W3CDTF">2025-01-18T16:46:16Z</dcterms:created>
  <dcterms:modified xsi:type="dcterms:W3CDTF">2025-01-18T16:46:16Z</dcterms:modified>
</cp:coreProperties>
</file>