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A594FB">
      <w:pPr>
        <w:jc w:val="center"/>
        <w:rPr>
          <w:b/>
          <w:sz w:val="52"/>
          <w:szCs w:val="52"/>
        </w:rPr>
      </w:pPr>
    </w:p>
    <w:p w14:paraId="5851406B">
      <w:pPr>
        <w:jc w:val="center"/>
        <w:rPr>
          <w:b/>
          <w:sz w:val="52"/>
          <w:szCs w:val="52"/>
        </w:rPr>
      </w:pPr>
    </w:p>
    <w:p w14:paraId="40211D8A">
      <w:pPr>
        <w:jc w:val="center"/>
        <w:rPr>
          <w:b/>
          <w:sz w:val="52"/>
          <w:szCs w:val="52"/>
        </w:rPr>
      </w:pPr>
    </w:p>
    <w:p w14:paraId="51771AB6">
      <w:pPr>
        <w:jc w:val="center"/>
        <w:rPr>
          <w:b/>
          <w:sz w:val="52"/>
          <w:szCs w:val="52"/>
        </w:rPr>
      </w:pPr>
    </w:p>
    <w:p w14:paraId="664BBD39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研究生选课系统</w:t>
      </w:r>
    </w:p>
    <w:p w14:paraId="6148A151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培养计划制定、选课</w:t>
      </w:r>
    </w:p>
    <w:p w14:paraId="3A617B2A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操作手册</w:t>
      </w:r>
    </w:p>
    <w:p w14:paraId="48BED2D3">
      <w:pPr>
        <w:rPr>
          <w:rFonts w:hint="eastAsia" w:ascii="宋体" w:hAnsi="宋体" w:eastAsia="宋体" w:cs="宋体"/>
          <w:sz w:val="24"/>
        </w:rPr>
      </w:pPr>
    </w:p>
    <w:p w14:paraId="5BAAB6F3">
      <w:pPr>
        <w:rPr>
          <w:rFonts w:hint="eastAsia" w:ascii="宋体" w:hAnsi="宋体" w:eastAsia="宋体" w:cs="宋体"/>
          <w:sz w:val="24"/>
        </w:rPr>
      </w:pPr>
    </w:p>
    <w:p w14:paraId="3F39815D">
      <w:pPr>
        <w:rPr>
          <w:rFonts w:hint="eastAsia" w:ascii="宋体" w:hAnsi="宋体" w:eastAsia="宋体" w:cs="宋体"/>
          <w:sz w:val="24"/>
        </w:rPr>
      </w:pPr>
    </w:p>
    <w:p w14:paraId="1C2494A5">
      <w:pPr>
        <w:rPr>
          <w:rFonts w:hint="eastAsia" w:ascii="宋体" w:hAnsi="宋体" w:eastAsia="宋体" w:cs="宋体"/>
          <w:sz w:val="24"/>
        </w:rPr>
      </w:pPr>
    </w:p>
    <w:p w14:paraId="426738D6">
      <w:pPr>
        <w:rPr>
          <w:rFonts w:hint="eastAsia" w:ascii="宋体" w:hAnsi="宋体" w:eastAsia="宋体" w:cs="宋体"/>
          <w:sz w:val="24"/>
        </w:rPr>
      </w:pPr>
    </w:p>
    <w:p w14:paraId="0CFC3ABE">
      <w:pPr>
        <w:rPr>
          <w:rFonts w:hint="eastAsia" w:ascii="宋体" w:hAnsi="宋体" w:eastAsia="宋体" w:cs="宋体"/>
          <w:sz w:val="24"/>
        </w:rPr>
      </w:pPr>
    </w:p>
    <w:p w14:paraId="43664C10">
      <w:pPr>
        <w:rPr>
          <w:rFonts w:hint="eastAsia" w:ascii="宋体" w:hAnsi="宋体" w:eastAsia="宋体" w:cs="宋体"/>
          <w:sz w:val="24"/>
        </w:rPr>
      </w:pPr>
    </w:p>
    <w:p w14:paraId="4680CEC4">
      <w:pPr>
        <w:rPr>
          <w:rFonts w:hint="eastAsia" w:ascii="宋体" w:hAnsi="宋体" w:eastAsia="宋体" w:cs="宋体"/>
          <w:sz w:val="24"/>
        </w:rPr>
      </w:pPr>
    </w:p>
    <w:p w14:paraId="5688FD95">
      <w:pPr>
        <w:rPr>
          <w:rFonts w:hint="eastAsia" w:ascii="宋体" w:hAnsi="宋体" w:eastAsia="宋体" w:cs="宋体"/>
          <w:sz w:val="24"/>
        </w:rPr>
      </w:pPr>
    </w:p>
    <w:p w14:paraId="607528CD">
      <w:pPr>
        <w:rPr>
          <w:rFonts w:hint="eastAsia" w:ascii="宋体" w:hAnsi="宋体" w:eastAsia="宋体" w:cs="宋体"/>
          <w:sz w:val="24"/>
        </w:rPr>
      </w:pPr>
    </w:p>
    <w:p w14:paraId="09AB1AFD">
      <w:pPr>
        <w:rPr>
          <w:rFonts w:hint="eastAsia" w:ascii="宋体" w:hAnsi="宋体" w:eastAsia="宋体" w:cs="宋体"/>
          <w:sz w:val="24"/>
        </w:rPr>
      </w:pPr>
    </w:p>
    <w:p w14:paraId="04371F93">
      <w:pPr>
        <w:rPr>
          <w:rFonts w:hint="eastAsia" w:ascii="宋体" w:hAnsi="宋体" w:eastAsia="宋体" w:cs="宋体"/>
          <w:sz w:val="24"/>
        </w:rPr>
      </w:pPr>
    </w:p>
    <w:p w14:paraId="51C2FEB4">
      <w:pPr>
        <w:rPr>
          <w:rFonts w:hint="eastAsia" w:ascii="宋体" w:hAnsi="宋体" w:eastAsia="宋体" w:cs="宋体"/>
          <w:sz w:val="24"/>
        </w:rPr>
      </w:pPr>
    </w:p>
    <w:p w14:paraId="40B210FD">
      <w:pPr>
        <w:rPr>
          <w:rFonts w:hint="eastAsia" w:ascii="宋体" w:hAnsi="宋体" w:eastAsia="宋体" w:cs="宋体"/>
          <w:sz w:val="24"/>
        </w:rPr>
      </w:pPr>
    </w:p>
    <w:p w14:paraId="0A428C56">
      <w:pPr>
        <w:rPr>
          <w:rFonts w:hint="eastAsia" w:ascii="宋体" w:hAnsi="宋体" w:eastAsia="宋体" w:cs="宋体"/>
          <w:sz w:val="24"/>
        </w:rPr>
      </w:pPr>
    </w:p>
    <w:p w14:paraId="360E6B3A">
      <w:pPr>
        <w:rPr>
          <w:rFonts w:hint="eastAsia" w:ascii="宋体" w:hAnsi="宋体" w:eastAsia="宋体" w:cs="宋体"/>
          <w:sz w:val="24"/>
        </w:rPr>
      </w:pPr>
    </w:p>
    <w:p w14:paraId="62345B72">
      <w:pPr>
        <w:rPr>
          <w:rFonts w:hint="eastAsia" w:ascii="宋体" w:hAnsi="宋体" w:eastAsia="宋体" w:cs="宋体"/>
          <w:sz w:val="24"/>
        </w:rPr>
      </w:pPr>
    </w:p>
    <w:p w14:paraId="0DA51A48">
      <w:pPr>
        <w:rPr>
          <w:rFonts w:hint="eastAsia" w:ascii="宋体" w:hAnsi="宋体" w:eastAsia="宋体" w:cs="宋体"/>
          <w:sz w:val="24"/>
        </w:rPr>
      </w:pPr>
    </w:p>
    <w:p w14:paraId="11EDE4EC">
      <w:pPr>
        <w:rPr>
          <w:rFonts w:hint="eastAsia" w:ascii="宋体" w:hAnsi="宋体" w:eastAsia="宋体" w:cs="宋体"/>
          <w:sz w:val="24"/>
        </w:rPr>
      </w:pPr>
    </w:p>
    <w:p w14:paraId="6E73DE04">
      <w:pPr>
        <w:rPr>
          <w:rFonts w:hint="eastAsia" w:ascii="宋体" w:hAnsi="宋体" w:eastAsia="宋体" w:cs="宋体"/>
          <w:sz w:val="24"/>
        </w:rPr>
      </w:pPr>
    </w:p>
    <w:p w14:paraId="6E1926B4">
      <w:pPr>
        <w:rPr>
          <w:rFonts w:hint="eastAsia" w:ascii="宋体" w:hAnsi="宋体" w:eastAsia="宋体" w:cs="宋体"/>
          <w:sz w:val="24"/>
        </w:rPr>
      </w:pPr>
    </w:p>
    <w:p w14:paraId="55EEACEB">
      <w:pPr>
        <w:rPr>
          <w:rFonts w:hint="eastAsia" w:ascii="宋体" w:hAnsi="宋体" w:eastAsia="宋体" w:cs="宋体"/>
          <w:sz w:val="24"/>
        </w:rPr>
      </w:pPr>
    </w:p>
    <w:p w14:paraId="25343AA2">
      <w:pPr>
        <w:rPr>
          <w:rFonts w:hint="eastAsia" w:ascii="宋体" w:hAnsi="宋体" w:eastAsia="宋体" w:cs="宋体"/>
          <w:sz w:val="24"/>
        </w:rPr>
      </w:pPr>
    </w:p>
    <w:p w14:paraId="5FBA2966">
      <w:pPr>
        <w:pStyle w:val="2"/>
      </w:pPr>
      <w:r>
        <w:rPr>
          <w:rFonts w:hint="eastAsia"/>
        </w:rPr>
        <w:t>一、学生选计划</w:t>
      </w:r>
    </w:p>
    <w:p w14:paraId="4F6983DD">
      <w:pPr>
        <w:numPr>
          <w:ilvl w:val="0"/>
          <w:numId w:val="1"/>
        </w:num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访问</w:t>
      </w:r>
      <w:r>
        <w:rPr>
          <w:rFonts w:hint="eastAsia" w:asciiTheme="minorEastAsia" w:hAnsiTheme="minorEastAsia" w:cstheme="minorEastAsia"/>
          <w:color w:val="5B9BD5" w:themeColor="accent1"/>
          <w:sz w:val="24"/>
          <w14:textFill>
            <w14:solidFill>
              <w14:schemeClr w14:val="accent1"/>
            </w14:solidFill>
          </w14:textFill>
        </w:rPr>
        <w:t>研究生院官方网站主页</w:t>
      </w:r>
      <w:r>
        <w:rPr>
          <w:rFonts w:hint="eastAsia" w:asciiTheme="minorEastAsia" w:hAnsiTheme="minorEastAsia" w:cstheme="minorEastAsia"/>
          <w:sz w:val="24"/>
        </w:rPr>
        <w:t>登录研究生选课系统，或直接访问：</w:t>
      </w:r>
    </w:p>
    <w:p w14:paraId="0C5FAFFB">
      <w:pPr>
        <w:tabs>
          <w:tab w:val="left" w:pos="312"/>
        </w:tabs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tab/>
      </w:r>
      <w:r>
        <w:rPr>
          <w:rFonts w:hint="eastAsia" w:asciiTheme="minorEastAsia" w:hAnsiTheme="minorEastAsia" w:cstheme="minorEastAsia"/>
          <w:color w:val="5B9BD5" w:themeColor="accent1"/>
          <w:sz w:val="24"/>
          <w14:textFill>
            <w14:solidFill>
              <w14:schemeClr w14:val="accent1"/>
            </w14:solidFill>
          </w14:textFill>
        </w:rPr>
        <w:t>https://yjsxk.xidian.edu.cn/yjsxkapp/sys/xsxkapp/index.html</w:t>
      </w:r>
    </w:p>
    <w:p w14:paraId="67FB6112">
      <w:pPr>
        <w:tabs>
          <w:tab w:val="left" w:pos="312"/>
        </w:tabs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输入账号密码(已激活学号，若未激活请访问统一门户网站进行激活：</w:t>
      </w:r>
    </w:p>
    <w:p w14:paraId="14CF5CA8">
      <w:pPr>
        <w:tabs>
          <w:tab w:val="left" w:pos="312"/>
        </w:tabs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tab/>
      </w:r>
      <w:r>
        <w:fldChar w:fldCharType="begin"/>
      </w:r>
      <w:r>
        <w:instrText xml:space="preserve"> HYPERLINK "https://ids.xidian.edu.cn/authserver/login" </w:instrText>
      </w:r>
      <w:r>
        <w:fldChar w:fldCharType="separate"/>
      </w:r>
      <w:r>
        <w:rPr>
          <w:rStyle w:val="8"/>
          <w:rFonts w:hint="eastAsia" w:asciiTheme="minorEastAsia" w:hAnsiTheme="minorEastAsia" w:cstheme="minorEastAsia"/>
          <w:sz w:val="24"/>
        </w:rPr>
        <w:t>https://ids.xidian.edu.cn/authserver/login</w:t>
      </w:r>
      <w:r>
        <w:rPr>
          <w:rStyle w:val="8"/>
          <w:rFonts w:hint="eastAsia" w:asciiTheme="minorEastAsia" w:hAnsiTheme="minorEastAsia" w:cstheme="minorEastAsia"/>
          <w:sz w:val="24"/>
        </w:rPr>
        <w:fldChar w:fldCharType="end"/>
      </w:r>
      <w:r>
        <w:rPr>
          <w:rFonts w:hint="eastAsia" w:asciiTheme="minorEastAsia" w:hAnsiTheme="minorEastAsia" w:cstheme="minorEastAsia"/>
          <w:sz w:val="24"/>
        </w:rPr>
        <w:t>)</w:t>
      </w:r>
    </w:p>
    <w:p w14:paraId="03D31203">
      <w:pPr>
        <w:tabs>
          <w:tab w:val="left" w:pos="312"/>
        </w:tabs>
        <w:spacing w:line="360" w:lineRule="auto"/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点击登录后，跳转到选计划、选课界面。</w:t>
      </w:r>
    </w:p>
    <w:p w14:paraId="5366BC67">
      <w:pPr>
        <w:spacing w:line="360" w:lineRule="auto"/>
        <w:rPr>
          <w:rFonts w:hint="eastAsia" w:asciiTheme="minorEastAsia" w:hAnsiTheme="minorEastAsia" w:cstheme="minorEastAsia"/>
          <w:szCs w:val="21"/>
        </w:rPr>
      </w:pPr>
      <w:r>
        <w:rPr>
          <w:rFonts w:hint="eastAsia" w:ascii="Times New Roman" w:hAnsi="Times New Roman" w:eastAsia="宋体" w:cs="Times New Roman"/>
          <w:color w:val="FF0000"/>
          <w:sz w:val="24"/>
        </w:rPr>
        <w:t>注：系统使用存在浏览器兼容问题，推荐使用请使谷歌浏览器，也可用360安全浏览器极速模式，360极速浏览器极速模式。存在界面无法加载或信息展现不及时的情况，请清除浏览器后缓存重新登录。</w:t>
      </w:r>
    </w:p>
    <w:p w14:paraId="2756A7EA">
      <w:r>
        <w:drawing>
          <wp:inline distT="0" distB="0" distL="0" distR="0">
            <wp:extent cx="5274310" cy="2750820"/>
            <wp:effectExtent l="0" t="0" r="2540" b="0"/>
            <wp:docPr id="10529975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99759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49672"/>
    <w:p w14:paraId="0DBC7679">
      <w:pPr>
        <w:pStyle w:val="9"/>
        <w:numPr>
          <w:ilvl w:val="0"/>
          <w:numId w:val="1"/>
        </w:numPr>
        <w:ind w:firstLine="0" w:firstLineChars="0"/>
      </w:pPr>
      <w:r>
        <w:rPr>
          <w:rFonts w:hint="eastAsia"/>
        </w:rPr>
        <w:t>进入选课首页，点击“我的计划”，开始选本人的培养计划。</w:t>
      </w:r>
    </w:p>
    <w:p w14:paraId="1219B862"/>
    <w:p w14:paraId="7FC33275">
      <w:r>
        <w:drawing>
          <wp:inline distT="0" distB="0" distL="0" distR="0">
            <wp:extent cx="5274310" cy="2560320"/>
            <wp:effectExtent l="0" t="0" r="2540" b="0"/>
            <wp:docPr id="19912304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23049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3AECE">
      <w:pPr>
        <w:pStyle w:val="9"/>
        <w:numPr>
          <w:ilvl w:val="0"/>
          <w:numId w:val="1"/>
        </w:numPr>
        <w:ind w:firstLine="0" w:firstLineChars="0"/>
      </w:pPr>
      <w:r>
        <w:rPr>
          <w:rFonts w:hint="eastAsia"/>
        </w:rPr>
        <w:t>进入“我的培养计划”页面，开始选计划。点击“本专业选课”，基于本专业培养方案选择培养计划，培养方案中的必修课会自动初始化过来。注意：每一类的课程性质下面有对应要求的学分，对应的多选组要求要满足。</w:t>
      </w:r>
    </w:p>
    <w:p w14:paraId="3706223A">
      <w:r>
        <w:drawing>
          <wp:inline distT="0" distB="0" distL="114300" distR="114300">
            <wp:extent cx="5266690" cy="2575560"/>
            <wp:effectExtent l="0" t="0" r="6350" b="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BDB9F">
      <w:r>
        <w:drawing>
          <wp:inline distT="0" distB="0" distL="114300" distR="114300">
            <wp:extent cx="5266690" cy="2581275"/>
            <wp:effectExtent l="0" t="0" r="6350" b="952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70260">
      <w:r>
        <w:drawing>
          <wp:inline distT="0" distB="0" distL="114300" distR="114300">
            <wp:extent cx="5266690" cy="2586990"/>
            <wp:effectExtent l="0" t="0" r="6350" b="381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36A60">
      <w:pPr>
        <w:numPr>
          <w:ilvl w:val="0"/>
          <w:numId w:val="1"/>
        </w:numPr>
        <w:rPr>
          <w:rFonts w:hint="eastAsia" w:asciiTheme="minorEastAsia" w:hAnsiTheme="minorEastAsia" w:cstheme="minorEastAsia"/>
          <w:sz w:val="24"/>
        </w:rPr>
      </w:pPr>
      <w:bookmarkStart w:id="0" w:name="_GoBack"/>
      <w:bookmarkEnd w:id="0"/>
      <w:r>
        <w:rPr>
          <w:rFonts w:hint="eastAsia" w:asciiTheme="minorEastAsia" w:hAnsiTheme="minorEastAsia" w:cstheme="minorEastAsia"/>
          <w:sz w:val="24"/>
        </w:rPr>
        <w:t>课程库选课：点击课程库选课按钮进入课程库选课。选择开课单位，课程层次，或者搜索课程名称进行选课，课程库选过来的课程将作为培养计划的任选课。</w:t>
      </w:r>
    </w:p>
    <w:p w14:paraId="3174DD96">
      <w:r>
        <w:drawing>
          <wp:inline distT="0" distB="0" distL="114300" distR="114300">
            <wp:extent cx="5266690" cy="2586990"/>
            <wp:effectExtent l="0" t="0" r="6350" b="381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58EF1">
      <w:r>
        <w:drawing>
          <wp:inline distT="0" distB="0" distL="114300" distR="114300">
            <wp:extent cx="5266690" cy="2575560"/>
            <wp:effectExtent l="0" t="0" r="6350" b="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9B062">
      <w:pPr>
        <w:pStyle w:val="9"/>
        <w:numPr>
          <w:ilvl w:val="0"/>
          <w:numId w:val="2"/>
        </w:numPr>
        <w:ind w:firstLineChars="0"/>
        <w:rPr>
          <w:rFonts w:eastAsiaTheme="minorEastAsia"/>
        </w:rPr>
      </w:pPr>
      <w:r>
        <w:rPr>
          <w:rFonts w:hint="eastAsia"/>
        </w:rPr>
        <w:t>点击“提交”按钮，培养计划提交后，可以开始选课。提交时，系统会自动校验培养计划中的课程学分是否满足学分要求，如果不满足要求，系统会给出提示；如果满足要求，系统会给出提交成功提示。</w:t>
      </w:r>
    </w:p>
    <w:p w14:paraId="04606AC2">
      <w:pPr>
        <w:pStyle w:val="9"/>
        <w:ind w:firstLine="0" w:firstLineChars="0"/>
      </w:pPr>
      <w:r>
        <w:drawing>
          <wp:inline distT="0" distB="0" distL="114300" distR="114300">
            <wp:extent cx="5266690" cy="2581275"/>
            <wp:effectExtent l="0" t="0" r="6350" b="952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C4F13">
      <w:pPr>
        <w:pStyle w:val="9"/>
        <w:ind w:firstLine="0" w:firstLineChars="0"/>
      </w:pPr>
      <w:r>
        <w:drawing>
          <wp:inline distT="0" distB="0" distL="114300" distR="114300">
            <wp:extent cx="5261610" cy="2575560"/>
            <wp:effectExtent l="0" t="0" r="11430" b="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24106">
      <w:pPr>
        <w:pStyle w:val="9"/>
        <w:ind w:firstLine="0" w:firstLineChars="0"/>
      </w:pPr>
    </w:p>
    <w:p w14:paraId="28A57B12">
      <w:pPr>
        <w:pStyle w:val="2"/>
      </w:pPr>
      <w:r>
        <w:rPr>
          <w:rFonts w:hint="eastAsia"/>
        </w:rPr>
        <w:t>二、学生选课</w:t>
      </w:r>
    </w:p>
    <w:p w14:paraId="6F6F1DA1">
      <w:pPr>
        <w:rPr>
          <w:rFonts w:hint="eastAsia" w:asciiTheme="minorEastAsia" w:hAnsiTheme="minorEastAsia" w:cstheme="minorEastAsia"/>
          <w:color w:val="FF0000"/>
          <w:sz w:val="28"/>
          <w:szCs w:val="28"/>
        </w:rPr>
      </w:pPr>
      <w:r>
        <w:rPr>
          <w:rFonts w:hint="eastAsia" w:asciiTheme="minorEastAsia" w:hAnsiTheme="minorEastAsia" w:cstheme="minorEastAsia"/>
          <w:color w:val="FF0000"/>
          <w:sz w:val="28"/>
          <w:szCs w:val="28"/>
        </w:rPr>
        <w:t>注意：学生选课是基于培养计划的计划内选课，培养计划提交之后可直接在“计划内选课”选择教学班；</w:t>
      </w:r>
    </w:p>
    <w:p w14:paraId="14D09D41">
      <w:pPr>
        <w:rPr>
          <w:rFonts w:hint="eastAsia" w:asciiTheme="minorEastAsia" w:hAnsiTheme="minorEastAsia" w:cstheme="minorEastAsia"/>
          <w:color w:val="FF0000"/>
          <w:sz w:val="28"/>
          <w:szCs w:val="28"/>
        </w:rPr>
      </w:pPr>
      <w:r>
        <w:rPr>
          <w:rFonts w:hint="eastAsia" w:asciiTheme="minorEastAsia" w:hAnsiTheme="minorEastAsia" w:cstheme="minorEastAsia"/>
          <w:color w:val="FF0000"/>
          <w:sz w:val="28"/>
          <w:szCs w:val="28"/>
        </w:rPr>
        <w:t>若是未提交培养计划，须先在“进入我的培养计划”里完成培养计划制定，然后再在“计划内选课”选择教学班。</w:t>
      </w:r>
    </w:p>
    <w:p w14:paraId="222D9285">
      <w:pPr>
        <w:rPr>
          <w:rFonts w:hint="eastAsia" w:eastAsia="宋体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1.</w:t>
      </w:r>
      <w:r>
        <w:rPr>
          <w:rFonts w:hint="eastAsia" w:ascii="Times New Roman" w:hAnsi="Times New Roman" w:eastAsia="宋体" w:cs="Times New Roman"/>
          <w:sz w:val="24"/>
        </w:rPr>
        <w:t>点击“我的选课”，进入选课页面。</w:t>
      </w:r>
    </w:p>
    <w:p w14:paraId="495AABDE">
      <w:r>
        <w:drawing>
          <wp:inline distT="0" distB="0" distL="114300" distR="114300">
            <wp:extent cx="5274310" cy="2564130"/>
            <wp:effectExtent l="0" t="0" r="13970" b="1143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03C4A">
      <w:pPr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2.计划内选课，</w:t>
      </w:r>
      <w:r>
        <w:rPr>
          <w:rFonts w:ascii="Times New Roman" w:hAnsi="Times New Roman" w:eastAsia="宋体" w:cs="Times New Roman"/>
          <w:sz w:val="24"/>
        </w:rPr>
        <w:t>点击课程代码</w:t>
      </w:r>
      <w:r>
        <w:rPr>
          <w:rFonts w:hint="eastAsia" w:ascii="Times New Roman" w:hAnsi="Times New Roman" w:eastAsia="宋体" w:cs="Times New Roman"/>
          <w:sz w:val="24"/>
        </w:rPr>
        <w:t>，</w:t>
      </w:r>
      <w:r>
        <w:rPr>
          <w:rFonts w:ascii="Times New Roman" w:hAnsi="Times New Roman" w:eastAsia="宋体" w:cs="Times New Roman"/>
          <w:sz w:val="24"/>
        </w:rPr>
        <w:t>选择教学班</w:t>
      </w:r>
      <w:r>
        <w:rPr>
          <w:rFonts w:hint="eastAsia" w:ascii="Times New Roman" w:hAnsi="Times New Roman" w:eastAsia="宋体" w:cs="Times New Roman"/>
          <w:sz w:val="24"/>
        </w:rPr>
        <w:t>，</w:t>
      </w:r>
      <w:r>
        <w:rPr>
          <w:rFonts w:ascii="Times New Roman" w:hAnsi="Times New Roman" w:eastAsia="宋体" w:cs="Times New Roman"/>
          <w:sz w:val="24"/>
        </w:rPr>
        <w:t>确认选择</w:t>
      </w:r>
      <w:r>
        <w:rPr>
          <w:rFonts w:hint="eastAsia" w:ascii="Times New Roman" w:hAnsi="Times New Roman" w:eastAsia="宋体" w:cs="Times New Roman"/>
          <w:sz w:val="24"/>
        </w:rPr>
        <w:t>，</w:t>
      </w:r>
      <w:r>
        <w:rPr>
          <w:rFonts w:ascii="Times New Roman" w:hAnsi="Times New Roman" w:eastAsia="宋体" w:cs="Times New Roman"/>
          <w:sz w:val="24"/>
        </w:rPr>
        <w:t>选课成功</w:t>
      </w:r>
      <w:r>
        <w:rPr>
          <w:rFonts w:hint="eastAsia" w:ascii="Times New Roman" w:hAnsi="Times New Roman" w:eastAsia="宋体" w:cs="Times New Roman"/>
          <w:sz w:val="24"/>
        </w:rPr>
        <w:t>。</w:t>
      </w:r>
    </w:p>
    <w:p w14:paraId="7095B826">
      <w:r>
        <w:drawing>
          <wp:inline distT="0" distB="0" distL="114300" distR="114300">
            <wp:extent cx="5273040" cy="2574925"/>
            <wp:effectExtent l="0" t="0" r="0" b="63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67EC5"/>
    <w:p w14:paraId="6BFA13DF">
      <w:r>
        <w:drawing>
          <wp:inline distT="0" distB="0" distL="0" distR="0">
            <wp:extent cx="5274310" cy="2339340"/>
            <wp:effectExtent l="0" t="0" r="1397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936B6">
      <w:pPr>
        <w:numPr>
          <w:ilvl w:val="0"/>
          <w:numId w:val="3"/>
        </w:numPr>
      </w:pPr>
      <w:r>
        <w:rPr>
          <w:rFonts w:hint="eastAsia"/>
        </w:rPr>
        <w:t>已选课程中查看已经选到的课程教学班，同时在该页面可以对已选的课程进行退选。</w:t>
      </w:r>
    </w:p>
    <w:p w14:paraId="6F14E91D">
      <w:r>
        <w:drawing>
          <wp:inline distT="0" distB="0" distL="114300" distR="114300">
            <wp:extent cx="5270500" cy="2544445"/>
            <wp:effectExtent l="0" t="0" r="2540" b="63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FE743">
      <w:pPr>
        <w:numPr>
          <w:ilvl w:val="0"/>
          <w:numId w:val="3"/>
        </w:numPr>
      </w:pPr>
      <w:r>
        <w:rPr>
          <w:rFonts w:hint="eastAsia"/>
        </w:rPr>
        <w:t>已开课程查询，以及选课资格条件的校验。</w:t>
      </w:r>
    </w:p>
    <w:p w14:paraId="7E97B434">
      <w:r>
        <w:drawing>
          <wp:inline distT="0" distB="0" distL="114300" distR="114300">
            <wp:extent cx="5270500" cy="2365375"/>
            <wp:effectExtent l="0" t="0" r="2540" b="12065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917F1">
      <w:r>
        <w:drawing>
          <wp:inline distT="0" distB="0" distL="114300" distR="114300">
            <wp:extent cx="5273040" cy="2583180"/>
            <wp:effectExtent l="0" t="0" r="0" b="762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84581"/>
    <w:p w14:paraId="309F2E3F">
      <w:pPr>
        <w:pStyle w:val="2"/>
      </w:pPr>
      <w:r>
        <w:rPr>
          <w:rFonts w:hint="eastAsia"/>
        </w:rPr>
        <w:t>三、我的课表</w:t>
      </w:r>
    </w:p>
    <w:p w14:paraId="65BDEC32">
      <w:pPr>
        <w:numPr>
          <w:ilvl w:val="0"/>
          <w:numId w:val="4"/>
        </w:numPr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t>点击</w:t>
      </w:r>
      <w:r>
        <w:rPr>
          <w:rFonts w:hint="eastAsia" w:ascii="Times New Roman" w:hAnsi="Times New Roman" w:eastAsia="宋体" w:cs="Times New Roman"/>
          <w:sz w:val="24"/>
        </w:rPr>
        <w:t>回退</w:t>
      </w:r>
      <w:r>
        <w:rPr>
          <w:rFonts w:ascii="Times New Roman" w:hAnsi="Times New Roman" w:eastAsia="宋体" w:cs="Times New Roman"/>
          <w:sz w:val="24"/>
        </w:rPr>
        <w:t>主页</w:t>
      </w:r>
      <w:r>
        <w:rPr>
          <w:rFonts w:hint="eastAsia" w:ascii="Times New Roman" w:hAnsi="Times New Roman" w:eastAsia="宋体" w:cs="Times New Roman"/>
          <w:sz w:val="24"/>
        </w:rPr>
        <w:t>上，可以查看我的课表以及退课日志。</w:t>
      </w:r>
    </w:p>
    <w:p w14:paraId="421B14AD">
      <w:r>
        <w:drawing>
          <wp:inline distT="0" distB="0" distL="0" distR="0">
            <wp:extent cx="5274310" cy="3281045"/>
            <wp:effectExtent l="0" t="0" r="2540" b="0"/>
            <wp:docPr id="13723172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317265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51AE0">
      <w:r>
        <w:drawing>
          <wp:inline distT="0" distB="0" distL="0" distR="0">
            <wp:extent cx="5274310" cy="3292475"/>
            <wp:effectExtent l="0" t="0" r="2540" b="3175"/>
            <wp:docPr id="13934456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445676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4B7AE">
      <w:r>
        <w:drawing>
          <wp:inline distT="0" distB="0" distL="0" distR="0">
            <wp:extent cx="5274310" cy="3189605"/>
            <wp:effectExtent l="0" t="0" r="2540" b="0"/>
            <wp:docPr id="16160443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044345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73971">
      <w:pPr>
        <w:rPr>
          <w:b/>
          <w:bCs/>
          <w:sz w:val="28"/>
          <w:szCs w:val="28"/>
        </w:rPr>
      </w:pPr>
    </w:p>
    <w:p w14:paraId="4A0C94D3">
      <w:pPr>
        <w:pStyle w:val="2"/>
      </w:pPr>
      <w:r>
        <w:rPr>
          <w:rFonts w:hint="eastAsia"/>
        </w:rPr>
        <w:t>四、培养计划制定、选课注意事项</w:t>
      </w:r>
    </w:p>
    <w:p w14:paraId="0493DFA6">
      <w:pPr>
        <w:spacing w:line="360" w:lineRule="auto"/>
      </w:pPr>
      <w:r>
        <w:rPr>
          <w:rFonts w:hint="eastAsia"/>
        </w:rPr>
        <w:t>1、若出现选课失败，或退课失败，或为人员较多请求超时，请刷新界面重试；</w:t>
      </w:r>
    </w:p>
    <w:p w14:paraId="54DA0375">
      <w:pPr>
        <w:spacing w:line="360" w:lineRule="auto"/>
      </w:pPr>
      <w:r>
        <w:rPr>
          <w:rFonts w:hint="eastAsia"/>
        </w:rPr>
        <w:t>2、请依据培养方案要求制定计划，请不要超出方案要求学分或其他；</w:t>
      </w:r>
    </w:p>
    <w:p w14:paraId="2448E2A9">
      <w:pPr>
        <w:rPr>
          <w:b/>
          <w:bCs/>
          <w:sz w:val="28"/>
          <w:szCs w:val="28"/>
        </w:rPr>
      </w:pPr>
    </w:p>
    <w:p w14:paraId="1B6BE7B3">
      <w:pPr>
        <w:rPr>
          <w:b/>
          <w:bCs/>
          <w:sz w:val="28"/>
          <w:szCs w:val="28"/>
        </w:rPr>
      </w:pPr>
    </w:p>
    <w:p w14:paraId="64F8C19D">
      <w:pPr>
        <w:rPr>
          <w:rFonts w:hint="eastAsia"/>
          <w:b/>
          <w:bCs/>
          <w:sz w:val="28"/>
          <w:szCs w:val="28"/>
        </w:rPr>
      </w:pPr>
    </w:p>
    <w:p w14:paraId="51C39CD6">
      <w:pPr>
        <w:ind w:firstLine="3780" w:firstLineChars="1800"/>
        <w:rPr>
          <w:sz w:val="32"/>
          <w:szCs w:val="32"/>
        </w:rPr>
      </w:pPr>
      <w:r>
        <w:rPr/>
        <w:sym w:font="Wingdings" w:char="F0DF"/>
      </w:r>
      <w:r>
        <w:t>END</w:t>
      </w:r>
      <w:r>
        <w:rPr/>
        <w:sym w:font="Wingdings" w:char="F0E0"/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79E204"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6" name="文本框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33C7B4">
                          <w:pPr>
                            <w:pStyle w:val="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g/nr5S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A33C7B4">
                    <w:pPr>
                      <w:pStyle w:val="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C7E8F8"/>
    <w:multiLevelType w:val="singleLevel"/>
    <w:tmpl w:val="9CC7E8F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A4C503ED"/>
    <w:multiLevelType w:val="singleLevel"/>
    <w:tmpl w:val="A4C503E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C83A38B4"/>
    <w:multiLevelType w:val="singleLevel"/>
    <w:tmpl w:val="C83A38B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105826F4"/>
    <w:multiLevelType w:val="multilevel"/>
    <w:tmpl w:val="105826F4"/>
    <w:lvl w:ilvl="0" w:tentative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70D"/>
    <w:rsid w:val="00010F4A"/>
    <w:rsid w:val="0004170D"/>
    <w:rsid w:val="00160CFC"/>
    <w:rsid w:val="00230C4C"/>
    <w:rsid w:val="002E4203"/>
    <w:rsid w:val="00356B32"/>
    <w:rsid w:val="003813A9"/>
    <w:rsid w:val="0038144B"/>
    <w:rsid w:val="003C08FA"/>
    <w:rsid w:val="003E24C1"/>
    <w:rsid w:val="004D4E69"/>
    <w:rsid w:val="004F5992"/>
    <w:rsid w:val="005218C6"/>
    <w:rsid w:val="005C3C8E"/>
    <w:rsid w:val="00645A6B"/>
    <w:rsid w:val="007763E8"/>
    <w:rsid w:val="007D5340"/>
    <w:rsid w:val="00855A89"/>
    <w:rsid w:val="00901C9F"/>
    <w:rsid w:val="0094346D"/>
    <w:rsid w:val="00947567"/>
    <w:rsid w:val="009E4A77"/>
    <w:rsid w:val="00A14876"/>
    <w:rsid w:val="00A4148A"/>
    <w:rsid w:val="00A63CE4"/>
    <w:rsid w:val="00B73712"/>
    <w:rsid w:val="00B745C4"/>
    <w:rsid w:val="00B834FC"/>
    <w:rsid w:val="00D86ACD"/>
    <w:rsid w:val="00D924CB"/>
    <w:rsid w:val="00D940A4"/>
    <w:rsid w:val="00E14F92"/>
    <w:rsid w:val="00E72252"/>
    <w:rsid w:val="00ED02D4"/>
    <w:rsid w:val="00F612D1"/>
    <w:rsid w:val="026E3C7E"/>
    <w:rsid w:val="029B1DC6"/>
    <w:rsid w:val="060303DE"/>
    <w:rsid w:val="0D0436B8"/>
    <w:rsid w:val="136779DA"/>
    <w:rsid w:val="13F732D9"/>
    <w:rsid w:val="14276E6A"/>
    <w:rsid w:val="17361E8E"/>
    <w:rsid w:val="177E3F9B"/>
    <w:rsid w:val="19AD044D"/>
    <w:rsid w:val="1B3012A2"/>
    <w:rsid w:val="222A5720"/>
    <w:rsid w:val="231D2ABA"/>
    <w:rsid w:val="27124056"/>
    <w:rsid w:val="2B0F54D7"/>
    <w:rsid w:val="2CD459BF"/>
    <w:rsid w:val="2E040F37"/>
    <w:rsid w:val="358273F5"/>
    <w:rsid w:val="36AA7717"/>
    <w:rsid w:val="3AE72720"/>
    <w:rsid w:val="3CC20BD4"/>
    <w:rsid w:val="4752635D"/>
    <w:rsid w:val="490F5C0A"/>
    <w:rsid w:val="4AB66908"/>
    <w:rsid w:val="52881663"/>
    <w:rsid w:val="52B64834"/>
    <w:rsid w:val="563F1313"/>
    <w:rsid w:val="5D745C7D"/>
    <w:rsid w:val="5F9D102F"/>
    <w:rsid w:val="622A2528"/>
    <w:rsid w:val="63CE3274"/>
    <w:rsid w:val="65645711"/>
    <w:rsid w:val="6E922423"/>
    <w:rsid w:val="716D6F42"/>
    <w:rsid w:val="72C5725D"/>
    <w:rsid w:val="73894657"/>
    <w:rsid w:val="7440273B"/>
    <w:rsid w:val="74524B11"/>
    <w:rsid w:val="76DA77D0"/>
    <w:rsid w:val="7A1E3167"/>
    <w:rsid w:val="7B852E3A"/>
    <w:rsid w:val="7CD14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0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nhideWhenUsed="0" w:uiPriority="0" w:semiHidden="0" w:name="List"/>
    <w:lsdException w:uiPriority="0" w:name="List Bullet"/>
    <w:lsdException w:uiPriority="0" w:name="List Number"/>
    <w:lsdException w:unhideWhenUsed="0" w:uiPriority="0" w:semiHidden="0" w:name="List 2"/>
    <w:lsdException w:unhideWhenUsed="0" w:uiPriority="0" w:semiHidden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spacing w:before="120" w:after="120" w:line="480" w:lineRule="auto"/>
      <w:outlineLvl w:val="0"/>
    </w:pPr>
    <w:rPr>
      <w:rFonts w:eastAsia="黑体"/>
      <w:b/>
      <w:bCs/>
      <w:kern w:val="44"/>
      <w:sz w:val="32"/>
      <w:szCs w:val="44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uiPriority w:val="0"/>
    <w:rPr>
      <w:sz w:val="18"/>
      <w:szCs w:val="18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paragraph" w:styleId="9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 w:val="24"/>
    </w:rPr>
  </w:style>
  <w:style w:type="character" w:customStyle="1" w:styleId="10">
    <w:name w:val="批注框文本 字符"/>
    <w:basedOn w:val="7"/>
    <w:link w:val="3"/>
    <w:uiPriority w:val="0"/>
    <w:rPr>
      <w:kern w:val="2"/>
      <w:sz w:val="18"/>
      <w:szCs w:val="18"/>
    </w:rPr>
  </w:style>
  <w:style w:type="character" w:customStyle="1" w:styleId="11">
    <w:name w:val="标题 1 字符"/>
    <w:basedOn w:val="7"/>
    <w:link w:val="2"/>
    <w:uiPriority w:val="0"/>
    <w:rPr>
      <w:rFonts w:eastAsia="黑体"/>
      <w:b/>
      <w:bCs/>
      <w:kern w:val="44"/>
      <w:sz w:val="32"/>
      <w:szCs w:val="44"/>
    </w:rPr>
  </w:style>
  <w:style w:type="character" w:customStyle="1" w:styleId="12">
    <w:name w:val="Unresolved Mention"/>
    <w:basedOn w:val="7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168</Words>
  <Characters>959</Characters>
  <Lines>7</Lines>
  <Paragraphs>2</Paragraphs>
  <TotalTime>1</TotalTime>
  <ScaleCrop>false</ScaleCrop>
  <LinksUpToDate>false</LinksUpToDate>
  <CharactersWithSpaces>1125</CharactersWithSpaces>
  <Application>WPS Office_12.8.2.17838_F1E327BC-269C-435d-A152-05C5408002CA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2023-09-01T07:08:00Z</dcterms:created>
  <dc:creator>LH</dc:creator>
  <cp:lastModifiedBy>ZYY</cp:lastModifiedBy>
  <dcterms:modified xsi:type="dcterms:W3CDTF">2025-08-29T08:27:06Z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2052-12.8.2.17838</vt:lpwstr>
  </property>
  <property fmtid="{D5CDD505-2E9C-101B-9397-08002B2CF9AE}" pid="3" name="ICV">
    <vt:lpwstr>4618A86323454B2FB524764B552E158E_12</vt:lpwstr>
  </property>
</Properties>
</file>