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EE846">
      <w:pPr>
        <w:spacing w:line="480" w:lineRule="exact"/>
        <w:jc w:val="center"/>
        <w:rPr>
          <w:rFonts w:ascii="宋体" w:hAnsi="宋体"/>
          <w:b/>
          <w:sz w:val="28"/>
          <w:szCs w:val="30"/>
        </w:rPr>
      </w:pPr>
      <w:r>
        <w:rPr>
          <w:rFonts w:hint="eastAsia" w:ascii="宋体" w:hAnsi="宋体"/>
          <w:b/>
          <w:sz w:val="28"/>
          <w:szCs w:val="30"/>
          <w:lang w:val="en-US" w:eastAsia="zh-CN"/>
        </w:rPr>
        <w:t>历史文化学院</w:t>
      </w:r>
      <w:r>
        <w:rPr>
          <w:rFonts w:hint="eastAsia" w:ascii="宋体" w:hAnsi="宋体"/>
          <w:b/>
          <w:sz w:val="28"/>
          <w:szCs w:val="30"/>
        </w:rPr>
        <w:t>202</w:t>
      </w:r>
      <w:r>
        <w:rPr>
          <w:rFonts w:hint="eastAsia" w:ascii="宋体" w:hAnsi="宋体"/>
          <w:b/>
          <w:sz w:val="28"/>
          <w:szCs w:val="30"/>
          <w:lang w:val="en-US" w:eastAsia="zh-CN"/>
        </w:rPr>
        <w:t>6</w:t>
      </w:r>
      <w:r>
        <w:rPr>
          <w:rFonts w:hint="eastAsia" w:ascii="宋体" w:hAnsi="宋体"/>
          <w:b/>
          <w:sz w:val="28"/>
          <w:szCs w:val="30"/>
        </w:rPr>
        <w:t>年推荐优秀应届本科毕业生</w:t>
      </w:r>
    </w:p>
    <w:p w14:paraId="077B001D">
      <w:pPr>
        <w:spacing w:line="480" w:lineRule="exact"/>
        <w:jc w:val="center"/>
        <w:rPr>
          <w:rFonts w:ascii="宋体" w:hAnsi="宋体"/>
          <w:b/>
          <w:sz w:val="30"/>
          <w:szCs w:val="30"/>
        </w:rPr>
      </w:pPr>
      <w:r>
        <w:rPr>
          <w:rFonts w:hint="eastAsia" w:ascii="宋体" w:hAnsi="宋体"/>
          <w:b/>
          <w:sz w:val="28"/>
          <w:szCs w:val="30"/>
        </w:rPr>
        <w:t>免试攻读研究生实施细则</w:t>
      </w:r>
    </w:p>
    <w:p w14:paraId="53D7CEB6">
      <w:pPr>
        <w:spacing w:line="360" w:lineRule="auto"/>
        <w:rPr>
          <w:rFonts w:hint="eastAsia" w:ascii="宋体" w:hAnsi="宋体"/>
          <w:b/>
          <w:sz w:val="30"/>
          <w:szCs w:val="30"/>
        </w:rPr>
      </w:pPr>
      <w:r>
        <w:rPr>
          <w:rFonts w:hint="eastAsia" w:ascii="宋体" w:hAnsi="宋体"/>
          <w:b/>
          <w:sz w:val="30"/>
          <w:szCs w:val="30"/>
        </w:rPr>
        <w:t xml:space="preserve">   </w:t>
      </w:r>
    </w:p>
    <w:p w14:paraId="0663AAC6">
      <w:pPr>
        <w:spacing w:line="360" w:lineRule="auto"/>
        <w:ind w:firstLine="480" w:firstLineChars="200"/>
        <w:rPr>
          <w:b/>
          <w:sz w:val="24"/>
        </w:rPr>
      </w:pPr>
      <w:r>
        <w:rPr>
          <w:rFonts w:hint="eastAsia" w:ascii="宋体" w:hAnsi="宋体"/>
          <w:sz w:val="24"/>
        </w:rPr>
        <w:t>为了保证优秀应届本科毕业生免试攻读硕士学位研究生工作的顺利进行，确保推免工作的公平、公正、公开，</w:t>
      </w:r>
      <w:r>
        <w:rPr>
          <w:rFonts w:hint="eastAsia" w:ascii="宋体" w:hAnsi="宋体"/>
          <w:sz w:val="24"/>
          <w:lang w:val="en-US" w:eastAsia="zh-CN"/>
        </w:rPr>
        <w:t>根据《吉林大学推荐优秀应届本科毕业生免试攻读研究生工作管理办法》、《关于开展2026年推荐优秀应届本科毕业生免试攻读研究生学业成绩核对和综合排名工作的通知》要求，</w:t>
      </w:r>
      <w:r>
        <w:rPr>
          <w:rFonts w:hint="eastAsia" w:ascii="宋体" w:hAnsi="宋体"/>
          <w:sz w:val="24"/>
        </w:rPr>
        <w:t>结合学校相关文件精神，学院制定了如下</w:t>
      </w:r>
      <w:r>
        <w:rPr>
          <w:rFonts w:hint="eastAsia" w:ascii="宋体" w:hAnsi="宋体"/>
          <w:sz w:val="24"/>
          <w:lang w:val="en-US" w:eastAsia="zh-CN"/>
        </w:rPr>
        <w:t>实施细则</w:t>
      </w:r>
      <w:r>
        <w:rPr>
          <w:rFonts w:hint="eastAsia" w:ascii="宋体" w:hAnsi="宋体"/>
          <w:sz w:val="24"/>
        </w:rPr>
        <w:t>：</w:t>
      </w:r>
    </w:p>
    <w:p w14:paraId="5BB10132">
      <w:pPr>
        <w:spacing w:before="156" w:beforeLines="50" w:after="156" w:afterLines="50" w:line="360" w:lineRule="auto"/>
        <w:jc w:val="center"/>
        <w:rPr>
          <w:b/>
          <w:sz w:val="24"/>
        </w:rPr>
      </w:pPr>
    </w:p>
    <w:p w14:paraId="7D5267C0">
      <w:pPr>
        <w:spacing w:before="156" w:beforeLines="50" w:after="156" w:afterLines="50" w:line="360" w:lineRule="auto"/>
        <w:jc w:val="center"/>
        <w:rPr>
          <w:b/>
          <w:sz w:val="24"/>
        </w:rPr>
      </w:pPr>
      <w:r>
        <w:rPr>
          <w:rFonts w:hint="eastAsia"/>
          <w:b/>
          <w:sz w:val="24"/>
        </w:rPr>
        <w:t xml:space="preserve">第一章 </w:t>
      </w:r>
      <w:r>
        <w:rPr>
          <w:b/>
          <w:sz w:val="24"/>
        </w:rPr>
        <w:t xml:space="preserve"> </w:t>
      </w:r>
      <w:r>
        <w:rPr>
          <w:rFonts w:hint="eastAsia"/>
          <w:b/>
          <w:sz w:val="24"/>
        </w:rPr>
        <w:t>组织领导</w:t>
      </w:r>
    </w:p>
    <w:p w14:paraId="399DE606">
      <w:pPr>
        <w:pStyle w:val="9"/>
        <w:numPr>
          <w:ilvl w:val="0"/>
          <w:numId w:val="1"/>
        </w:numPr>
        <w:spacing w:before="156" w:beforeLines="50" w:after="156" w:afterLines="50" w:line="360" w:lineRule="auto"/>
        <w:ind w:firstLineChars="0"/>
        <w:rPr>
          <w:b/>
          <w:sz w:val="24"/>
        </w:rPr>
      </w:pPr>
      <w:r>
        <w:rPr>
          <w:rFonts w:hint="eastAsia"/>
          <w:b/>
          <w:sz w:val="24"/>
        </w:rPr>
        <w:t>推免工作小组</w:t>
      </w:r>
    </w:p>
    <w:p w14:paraId="339B58F9">
      <w:pPr>
        <w:spacing w:line="360" w:lineRule="auto"/>
        <w:ind w:firstLine="480" w:firstLineChars="200"/>
        <w:rPr>
          <w:rFonts w:hint="eastAsia" w:ascii="宋体" w:hAnsi="宋体"/>
          <w:sz w:val="24"/>
          <w:lang w:val="en-US" w:eastAsia="zh-CN"/>
        </w:rPr>
      </w:pPr>
      <w:r>
        <w:rPr>
          <w:rFonts w:hint="eastAsia" w:ascii="宋体" w:hAnsi="宋体"/>
          <w:sz w:val="24"/>
        </w:rPr>
        <w:t>组长：</w:t>
      </w:r>
      <w:r>
        <w:rPr>
          <w:rFonts w:hint="eastAsia" w:ascii="宋体" w:hAnsi="宋体"/>
          <w:sz w:val="24"/>
          <w:lang w:val="en-US" w:eastAsia="zh-CN"/>
        </w:rPr>
        <w:t>马卫东</w:t>
      </w:r>
    </w:p>
    <w:p w14:paraId="34810973">
      <w:pPr>
        <w:spacing w:line="360" w:lineRule="auto"/>
        <w:ind w:firstLine="480" w:firstLineChars="200"/>
        <w:rPr>
          <w:rFonts w:hint="default" w:ascii="宋体" w:hAnsi="宋体"/>
          <w:sz w:val="24"/>
          <w:lang w:val="en-US" w:eastAsia="zh-CN"/>
        </w:rPr>
      </w:pPr>
      <w:r>
        <w:rPr>
          <w:rFonts w:hint="eastAsia" w:ascii="宋体" w:hAnsi="宋体"/>
          <w:sz w:val="24"/>
        </w:rPr>
        <w:t>副组长：</w:t>
      </w:r>
      <w:r>
        <w:rPr>
          <w:rFonts w:hint="eastAsia" w:ascii="宋体" w:hAnsi="宋体"/>
          <w:sz w:val="24"/>
          <w:lang w:val="en-US" w:eastAsia="zh-CN"/>
        </w:rPr>
        <w:t>徐萍</w:t>
      </w:r>
    </w:p>
    <w:p w14:paraId="433B0142">
      <w:pPr>
        <w:spacing w:line="360" w:lineRule="auto"/>
        <w:ind w:firstLine="480" w:firstLineChars="200"/>
        <w:rPr>
          <w:rFonts w:hint="default" w:ascii="宋体" w:hAnsi="宋体"/>
          <w:sz w:val="24"/>
          <w:lang w:val="en-US" w:eastAsia="zh-CN"/>
        </w:rPr>
      </w:pPr>
      <w:r>
        <w:rPr>
          <w:rFonts w:hint="eastAsia" w:ascii="宋体" w:hAnsi="宋体"/>
          <w:sz w:val="24"/>
        </w:rPr>
        <w:t>成员：</w:t>
      </w:r>
      <w:r>
        <w:rPr>
          <w:rFonts w:hint="eastAsia" w:ascii="宋体" w:hAnsi="宋体"/>
          <w:sz w:val="24"/>
          <w:lang w:val="en-US" w:eastAsia="zh-CN"/>
        </w:rPr>
        <w:t>李羿、蒋金玲、史海波、宋卿、李佳、管书合、范立君</w:t>
      </w:r>
    </w:p>
    <w:p w14:paraId="0E62279F">
      <w:pPr>
        <w:pStyle w:val="9"/>
        <w:numPr>
          <w:ilvl w:val="0"/>
          <w:numId w:val="1"/>
        </w:numPr>
        <w:spacing w:before="156" w:beforeLines="50" w:after="156" w:afterLines="50" w:line="360" w:lineRule="auto"/>
        <w:ind w:firstLineChars="0"/>
        <w:rPr>
          <w:b/>
          <w:sz w:val="24"/>
        </w:rPr>
      </w:pPr>
      <w:r>
        <w:rPr>
          <w:rFonts w:hint="eastAsia"/>
          <w:b/>
          <w:sz w:val="24"/>
        </w:rPr>
        <w:t>推免工作监督小组</w:t>
      </w:r>
    </w:p>
    <w:p w14:paraId="580EDCC4">
      <w:pPr>
        <w:spacing w:line="360" w:lineRule="auto"/>
        <w:ind w:left="359" w:leftChars="171" w:firstLine="120" w:firstLineChars="50"/>
        <w:rPr>
          <w:rFonts w:hint="eastAsia" w:eastAsia="宋体"/>
          <w:sz w:val="24"/>
          <w:lang w:val="en-US" w:eastAsia="zh-CN"/>
        </w:rPr>
      </w:pPr>
      <w:r>
        <w:rPr>
          <w:rFonts w:hint="eastAsia"/>
          <w:sz w:val="24"/>
        </w:rPr>
        <w:t>组长：</w:t>
      </w:r>
      <w:r>
        <w:rPr>
          <w:rFonts w:hint="eastAsia"/>
          <w:sz w:val="24"/>
          <w:lang w:val="en-US" w:eastAsia="zh-CN"/>
        </w:rPr>
        <w:t>韩喜平</w:t>
      </w:r>
    </w:p>
    <w:p w14:paraId="451C779A">
      <w:pPr>
        <w:spacing w:line="360" w:lineRule="auto"/>
        <w:ind w:left="359" w:leftChars="171" w:firstLine="120" w:firstLineChars="50"/>
        <w:rPr>
          <w:sz w:val="24"/>
        </w:rPr>
      </w:pPr>
      <w:r>
        <w:rPr>
          <w:rFonts w:hint="eastAsia"/>
          <w:sz w:val="24"/>
        </w:rPr>
        <w:t>成员：贾小壮、</w:t>
      </w:r>
      <w:r>
        <w:rPr>
          <w:rFonts w:hint="eastAsia"/>
          <w:sz w:val="24"/>
          <w:lang w:val="en-US" w:eastAsia="zh-CN"/>
        </w:rPr>
        <w:t>王万志</w:t>
      </w:r>
      <w:r>
        <w:rPr>
          <w:rFonts w:hint="eastAsia"/>
          <w:sz w:val="24"/>
        </w:rPr>
        <w:t>、</w:t>
      </w:r>
      <w:r>
        <w:rPr>
          <w:rFonts w:hint="eastAsia"/>
          <w:sz w:val="24"/>
          <w:lang w:val="en-US" w:eastAsia="zh-CN"/>
        </w:rPr>
        <w:t>陶莎</w:t>
      </w:r>
      <w:r>
        <w:rPr>
          <w:rFonts w:hint="eastAsia"/>
          <w:sz w:val="24"/>
        </w:rPr>
        <w:t>、</w:t>
      </w:r>
      <w:r>
        <w:rPr>
          <w:rFonts w:hint="eastAsia"/>
          <w:sz w:val="24"/>
          <w:lang w:val="en-US" w:eastAsia="zh-CN"/>
        </w:rPr>
        <w:t>郭军伟</w:t>
      </w:r>
      <w:r>
        <w:rPr>
          <w:rFonts w:hint="eastAsia"/>
          <w:sz w:val="24"/>
        </w:rPr>
        <w:t>、</w:t>
      </w:r>
      <w:r>
        <w:rPr>
          <w:rFonts w:hint="eastAsia"/>
          <w:sz w:val="24"/>
          <w:lang w:val="en-US" w:eastAsia="zh-CN"/>
        </w:rPr>
        <w:t>王春雨、李雨航</w:t>
      </w:r>
      <w:r>
        <w:rPr>
          <w:rFonts w:hint="eastAsia"/>
          <w:sz w:val="24"/>
        </w:rPr>
        <w:t>（学生代表）</w:t>
      </w:r>
    </w:p>
    <w:p w14:paraId="38AF11A7">
      <w:pPr>
        <w:spacing w:before="156" w:beforeLines="50" w:after="156" w:afterLines="50" w:line="360" w:lineRule="auto"/>
        <w:jc w:val="center"/>
        <w:rPr>
          <w:b/>
          <w:sz w:val="24"/>
        </w:rPr>
      </w:pPr>
    </w:p>
    <w:p w14:paraId="3C0829A5">
      <w:pPr>
        <w:spacing w:before="156" w:beforeLines="50" w:after="156" w:afterLines="50" w:line="360" w:lineRule="auto"/>
        <w:jc w:val="center"/>
        <w:rPr>
          <w:b/>
          <w:sz w:val="24"/>
        </w:rPr>
      </w:pPr>
      <w:r>
        <w:rPr>
          <w:rFonts w:hint="eastAsia"/>
          <w:b/>
          <w:sz w:val="24"/>
        </w:rPr>
        <w:t xml:space="preserve">第二章 </w:t>
      </w:r>
      <w:r>
        <w:rPr>
          <w:b/>
          <w:sz w:val="24"/>
        </w:rPr>
        <w:t xml:space="preserve"> </w:t>
      </w:r>
      <w:r>
        <w:rPr>
          <w:rFonts w:hint="eastAsia"/>
          <w:b/>
          <w:sz w:val="24"/>
        </w:rPr>
        <w:t>推荐条件</w:t>
      </w:r>
    </w:p>
    <w:p w14:paraId="7EEDF8AB">
      <w:pPr>
        <w:spacing w:line="360" w:lineRule="auto"/>
        <w:rPr>
          <w:rFonts w:hint="default" w:ascii="宋体" w:hAnsi="宋体" w:eastAsia="宋体"/>
          <w:b/>
          <w:bCs/>
          <w:sz w:val="24"/>
          <w:lang w:val="en-US" w:eastAsia="zh-CN"/>
        </w:rPr>
      </w:pPr>
      <w:r>
        <w:rPr>
          <w:rFonts w:hint="eastAsia" w:ascii="宋体" w:hAnsi="宋体"/>
          <w:b/>
          <w:bCs/>
          <w:sz w:val="24"/>
          <w:lang w:val="en-US" w:eastAsia="zh-CN"/>
        </w:rPr>
        <w:t>一、基本条件</w:t>
      </w:r>
    </w:p>
    <w:p w14:paraId="205B41D9">
      <w:pPr>
        <w:spacing w:line="360" w:lineRule="auto"/>
        <w:ind w:firstLine="480" w:firstLineChars="200"/>
        <w:rPr>
          <w:rFonts w:hint="eastAsia" w:ascii="宋体" w:hAnsi="宋体"/>
          <w:sz w:val="24"/>
        </w:rPr>
      </w:pPr>
      <w:r>
        <w:rPr>
          <w:rFonts w:hint="eastAsia" w:ascii="宋体" w:hAnsi="宋体"/>
          <w:sz w:val="24"/>
        </w:rPr>
        <w:t>1.拥护中国共产党的领导，具有高尚的爱国主义情操和集体主义精神，社会主义信念坚定，社会责任感强，遵纪守法，积极向上，身心健康。</w:t>
      </w:r>
    </w:p>
    <w:p w14:paraId="672208C2">
      <w:pPr>
        <w:spacing w:line="360" w:lineRule="auto"/>
        <w:ind w:firstLine="480" w:firstLineChars="200"/>
        <w:rPr>
          <w:sz w:val="24"/>
        </w:rPr>
      </w:pPr>
      <w:r>
        <w:rPr>
          <w:rFonts w:hint="eastAsia" w:ascii="宋体" w:hAnsi="宋体"/>
          <w:sz w:val="24"/>
        </w:rPr>
        <w:t>2.学校纳入国家普通本科招生计划录取的全日制应届本科毕业生（不含专升本、第二学士学位学生）。</w:t>
      </w:r>
    </w:p>
    <w:p w14:paraId="0078E8E9">
      <w:pPr>
        <w:spacing w:line="360" w:lineRule="auto"/>
        <w:ind w:firstLine="480" w:firstLineChars="200"/>
        <w:rPr>
          <w:rFonts w:hint="eastAsia" w:ascii="宋体" w:hAnsi="宋体" w:eastAsia="宋体"/>
          <w:sz w:val="24"/>
          <w:lang w:val="en-US" w:eastAsia="zh-CN"/>
        </w:rPr>
      </w:pPr>
      <w:r>
        <w:rPr>
          <w:rFonts w:hint="eastAsia" w:ascii="宋体" w:hAnsi="宋体"/>
          <w:sz w:val="24"/>
        </w:rPr>
        <w:t>3.勤奋学习，刻苦钻研，成绩优秀；学术研究兴趣浓厚，有较强的科学精神、创新能力和科研潜质。</w:t>
      </w:r>
      <w:r>
        <w:rPr>
          <w:rFonts w:hint="eastAsia" w:ascii="宋体" w:hAnsi="宋体"/>
          <w:sz w:val="24"/>
          <w:lang w:val="en-US" w:eastAsia="zh-CN"/>
        </w:rPr>
        <w:t xml:space="preserve"> </w:t>
      </w:r>
    </w:p>
    <w:p w14:paraId="3605CA3C">
      <w:pPr>
        <w:spacing w:line="360" w:lineRule="auto"/>
        <w:ind w:firstLine="480" w:firstLineChars="200"/>
        <w:rPr>
          <w:rFonts w:hint="eastAsia" w:ascii="宋体" w:hAnsi="宋体"/>
          <w:sz w:val="24"/>
        </w:rPr>
      </w:pPr>
      <w:r>
        <w:rPr>
          <w:rFonts w:hint="eastAsia" w:ascii="宋体" w:hAnsi="宋体"/>
          <w:sz w:val="24"/>
        </w:rPr>
        <w:t>4.诚实守信、遵纪守法、学风端正，无学业、学术、品行等方面严重失信行为。曾受过纪律处分的学生，推免工作开始前（日期以学校发布推免通知为准）处分已解除的，申报推免不受影响。</w:t>
      </w:r>
    </w:p>
    <w:p w14:paraId="16DACAC1">
      <w:pPr>
        <w:spacing w:line="360" w:lineRule="auto"/>
        <w:ind w:firstLine="480" w:firstLineChars="200"/>
        <w:rPr>
          <w:rFonts w:hint="eastAsia" w:ascii="宋体" w:hAnsi="宋体"/>
          <w:sz w:val="24"/>
        </w:rPr>
      </w:pPr>
      <w:r>
        <w:rPr>
          <w:rFonts w:hint="eastAsia" w:ascii="宋体" w:hAnsi="宋体"/>
          <w:sz w:val="24"/>
        </w:rPr>
        <w:t>5.具备良好的体质健康水平。</w:t>
      </w:r>
    </w:p>
    <w:p w14:paraId="27AE2B06">
      <w:pPr>
        <w:spacing w:line="360" w:lineRule="auto"/>
        <w:ind w:firstLine="480" w:firstLineChars="200"/>
        <w:rPr>
          <w:rFonts w:hint="eastAsia" w:ascii="宋体" w:hAnsi="宋体"/>
          <w:sz w:val="24"/>
        </w:rPr>
      </w:pPr>
    </w:p>
    <w:p w14:paraId="6AEF1728">
      <w:pPr>
        <w:spacing w:line="360" w:lineRule="auto"/>
        <w:rPr>
          <w:rFonts w:hint="eastAsia" w:ascii="宋体" w:hAnsi="宋体"/>
          <w:b/>
          <w:bCs/>
          <w:sz w:val="24"/>
          <w:lang w:val="en-US" w:eastAsia="zh-CN"/>
        </w:rPr>
      </w:pPr>
      <w:r>
        <w:rPr>
          <w:rFonts w:hint="eastAsia" w:ascii="宋体" w:hAnsi="宋体"/>
          <w:b/>
          <w:bCs/>
          <w:sz w:val="24"/>
          <w:lang w:val="en-US" w:eastAsia="zh-CN"/>
        </w:rPr>
        <w:t>二、成绩要求</w:t>
      </w:r>
    </w:p>
    <w:p w14:paraId="31FF5129">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推免生选拔综合成绩应当符合以下条件：</w:t>
      </w:r>
    </w:p>
    <w:p w14:paraId="70EF6CBE">
      <w:pPr>
        <w:spacing w:line="360" w:lineRule="auto"/>
        <w:ind w:firstLine="480" w:firstLineChars="200"/>
        <w:rPr>
          <w:rFonts w:hint="eastAsia" w:ascii="宋体" w:hAnsi="宋体"/>
          <w:sz w:val="24"/>
        </w:rPr>
      </w:pPr>
      <w:r>
        <w:rPr>
          <w:rFonts w:hint="eastAsia" w:ascii="宋体" w:hAnsi="宋体"/>
          <w:sz w:val="24"/>
          <w:lang w:val="en-US" w:eastAsia="zh-CN"/>
        </w:rPr>
        <w:t>综合</w:t>
      </w:r>
      <w:r>
        <w:rPr>
          <w:rFonts w:hint="eastAsia" w:ascii="宋体" w:hAnsi="宋体"/>
          <w:sz w:val="24"/>
        </w:rPr>
        <w:t>成绩是由学生前三学年《培养方案》要求开设的全部必修课程和限选课程（含实践教学环节）的考核成绩和素质类项目（包括学生在校期间取得科研成果、参加竞赛获奖、参军入伍服兵役、参加志愿服务、到国际组织实习情况）加分成绩构成，要求全部成绩必须通过。</w:t>
      </w:r>
    </w:p>
    <w:p w14:paraId="05B1CEA3">
      <w:pPr>
        <w:spacing w:line="360" w:lineRule="auto"/>
        <w:ind w:firstLine="480" w:firstLineChars="200"/>
        <w:rPr>
          <w:rFonts w:hint="eastAsia" w:ascii="宋体" w:hAnsi="宋体"/>
          <w:sz w:val="24"/>
        </w:rPr>
      </w:pPr>
      <w:r>
        <w:rPr>
          <w:rFonts w:hint="eastAsia" w:ascii="宋体" w:hAnsi="宋体"/>
          <w:sz w:val="24"/>
        </w:rPr>
        <w:t>1.申请</w:t>
      </w:r>
      <w:r>
        <w:rPr>
          <w:rFonts w:hint="eastAsia" w:ascii="宋体" w:hAnsi="宋体"/>
          <w:sz w:val="24"/>
          <w:lang w:val="en-US" w:eastAsia="zh-CN"/>
        </w:rPr>
        <w:t>普通</w:t>
      </w:r>
      <w:r>
        <w:rPr>
          <w:rFonts w:hint="eastAsia" w:ascii="宋体" w:hAnsi="宋体"/>
          <w:sz w:val="24"/>
        </w:rPr>
        <w:t>推荐</w:t>
      </w:r>
      <w:r>
        <w:rPr>
          <w:rFonts w:hint="eastAsia" w:ascii="宋体" w:hAnsi="宋体"/>
          <w:sz w:val="24"/>
          <w:lang w:eastAsia="zh-CN"/>
        </w:rPr>
        <w:t>、</w:t>
      </w:r>
      <w:r>
        <w:rPr>
          <w:rFonts w:hint="eastAsia" w:ascii="宋体" w:hAnsi="宋体"/>
          <w:sz w:val="24"/>
        </w:rPr>
        <w:t>“专项推免补偿计划”推荐的学生，要求平均学分绩点（GPA）2.5及以上；申请“研究生支教团”推荐的学生，要求平均学分绩点（GPA）2.3及以上。</w:t>
      </w:r>
    </w:p>
    <w:p w14:paraId="0C2B0C3A">
      <w:pPr>
        <w:spacing w:line="360" w:lineRule="auto"/>
        <w:ind w:firstLine="480" w:firstLineChars="200"/>
        <w:rPr>
          <w:rFonts w:hint="eastAsia" w:ascii="宋体" w:hAnsi="宋体"/>
          <w:sz w:val="24"/>
        </w:rPr>
      </w:pPr>
      <w:r>
        <w:rPr>
          <w:rFonts w:hint="eastAsia" w:ascii="宋体" w:hAnsi="宋体"/>
          <w:sz w:val="24"/>
        </w:rPr>
        <w:t>2.申请</w:t>
      </w:r>
      <w:r>
        <w:rPr>
          <w:rFonts w:hint="eastAsia" w:ascii="宋体" w:hAnsi="宋体"/>
          <w:sz w:val="24"/>
          <w:lang w:val="en-US" w:eastAsia="zh-CN"/>
        </w:rPr>
        <w:t>普通</w:t>
      </w:r>
      <w:r>
        <w:rPr>
          <w:rFonts w:hint="eastAsia" w:ascii="宋体" w:hAnsi="宋体"/>
          <w:sz w:val="24"/>
        </w:rPr>
        <w:t>推荐</w:t>
      </w:r>
      <w:r>
        <w:rPr>
          <w:rFonts w:hint="eastAsia" w:ascii="宋体" w:hAnsi="宋体"/>
          <w:sz w:val="24"/>
          <w:lang w:eastAsia="zh-CN"/>
        </w:rPr>
        <w:t>、</w:t>
      </w:r>
      <w:r>
        <w:rPr>
          <w:rFonts w:hint="eastAsia" w:ascii="宋体" w:hAnsi="宋体"/>
          <w:sz w:val="24"/>
        </w:rPr>
        <w:t>“专项推免补偿计划”推荐的学生，允许曾有1门必修课程或限选课程不及格，但必须在当年推免工作开始前重修通过。</w:t>
      </w:r>
    </w:p>
    <w:p w14:paraId="72ADD74A">
      <w:pPr>
        <w:spacing w:line="360" w:lineRule="auto"/>
        <w:ind w:firstLine="480" w:firstLineChars="200"/>
        <w:rPr>
          <w:rFonts w:hint="eastAsia" w:ascii="宋体" w:hAnsi="宋体"/>
          <w:sz w:val="24"/>
        </w:rPr>
      </w:pPr>
      <w:r>
        <w:rPr>
          <w:rFonts w:hint="eastAsia" w:ascii="宋体" w:hAnsi="宋体"/>
          <w:sz w:val="24"/>
        </w:rPr>
        <w:t>申请“研究生支教团”推荐的学生，允许曾有2门必修课程或限选课程不及格，但必须在当年推免工作开始前重修通过。</w:t>
      </w:r>
    </w:p>
    <w:p w14:paraId="5A28FAF2">
      <w:pPr>
        <w:spacing w:line="360" w:lineRule="auto"/>
        <w:ind w:firstLine="480" w:firstLineChars="200"/>
        <w:rPr>
          <w:rFonts w:hint="eastAsia" w:ascii="宋体" w:hAnsi="宋体"/>
          <w:sz w:val="24"/>
        </w:rPr>
      </w:pPr>
      <w:r>
        <w:rPr>
          <w:rFonts w:hint="eastAsia" w:ascii="宋体" w:hAnsi="宋体"/>
          <w:sz w:val="24"/>
        </w:rPr>
        <w:t>3.成绩排名以第一次考试成绩为准，重修、加分的成绩不参与排名计算。经教务处批准的缓考、补考成绩，按第一次考试成绩计算排名。</w:t>
      </w:r>
    </w:p>
    <w:p w14:paraId="6D7B0F29">
      <w:pPr>
        <w:spacing w:line="360" w:lineRule="auto"/>
        <w:ind w:firstLine="480" w:firstLineChars="200"/>
        <w:rPr>
          <w:rFonts w:hint="eastAsia" w:ascii="宋体" w:hAnsi="宋体"/>
          <w:sz w:val="24"/>
        </w:rPr>
      </w:pPr>
      <w:r>
        <w:rPr>
          <w:rFonts w:hint="eastAsia" w:ascii="宋体" w:hAnsi="宋体"/>
          <w:sz w:val="24"/>
        </w:rPr>
        <w:t>4.校际交流学生的推免成绩必须经教务处进行相应学分认定，且应不少于《培养方案》要求的全部必修课程和限选课程总学分的95%，其课程门数按实际修读课程门数计算。</w:t>
      </w:r>
    </w:p>
    <w:p w14:paraId="49DBD747">
      <w:pPr>
        <w:spacing w:line="360" w:lineRule="auto"/>
        <w:ind w:firstLine="480" w:firstLineChars="200"/>
        <w:rPr>
          <w:rFonts w:hint="eastAsia" w:ascii="宋体" w:hAnsi="宋体"/>
          <w:sz w:val="24"/>
        </w:rPr>
      </w:pPr>
      <w:r>
        <w:rPr>
          <w:rFonts w:hint="eastAsia" w:ascii="宋体" w:hAnsi="宋体"/>
          <w:sz w:val="24"/>
        </w:rPr>
        <w:t>5.具备良好的外语能力和水平，校内必修外语课程考试平均成绩达到75分以上或全国大学外语四级考试成绩在425分以上（或托福80分及以上、雅思6.0及以上、日语N2及以上、俄语ТРКИ-2及以上）；外语专业学生要求专业外语四级成绩达到70分以上。</w:t>
      </w:r>
    </w:p>
    <w:p w14:paraId="1DCD7E13">
      <w:pPr>
        <w:spacing w:line="360" w:lineRule="auto"/>
        <w:ind w:firstLine="480" w:firstLineChars="200"/>
        <w:rPr>
          <w:rFonts w:hint="eastAsia" w:ascii="宋体" w:hAnsi="宋体"/>
          <w:sz w:val="24"/>
        </w:rPr>
      </w:pPr>
    </w:p>
    <w:p w14:paraId="75F47DAD">
      <w:pPr>
        <w:spacing w:line="360" w:lineRule="auto"/>
        <w:rPr>
          <w:rFonts w:hint="eastAsia" w:ascii="宋体" w:hAnsi="宋体"/>
          <w:b/>
          <w:bCs/>
          <w:sz w:val="24"/>
          <w:lang w:val="en-US" w:eastAsia="zh-CN"/>
        </w:rPr>
      </w:pPr>
      <w:r>
        <w:rPr>
          <w:rFonts w:hint="eastAsia" w:ascii="宋体" w:hAnsi="宋体"/>
          <w:b/>
          <w:bCs/>
          <w:sz w:val="24"/>
          <w:lang w:val="en-US" w:eastAsia="zh-CN"/>
        </w:rPr>
        <w:t>三、综合排名要求</w:t>
      </w:r>
    </w:p>
    <w:p w14:paraId="5E968F0F">
      <w:pPr>
        <w:spacing w:line="360" w:lineRule="auto"/>
        <w:ind w:firstLine="480" w:firstLineChars="200"/>
        <w:rPr>
          <w:rFonts w:hint="eastAsia" w:ascii="宋体" w:hAnsi="宋体"/>
          <w:sz w:val="24"/>
        </w:rPr>
      </w:pPr>
      <w:r>
        <w:rPr>
          <w:rFonts w:hint="eastAsia" w:ascii="宋体" w:hAnsi="宋体"/>
          <w:sz w:val="24"/>
        </w:rPr>
        <w:t>1.综合排名由学业成绩和素质类项目加分组成。</w:t>
      </w:r>
    </w:p>
    <w:p w14:paraId="4A0D6F13">
      <w:pPr>
        <w:spacing w:line="360" w:lineRule="auto"/>
        <w:ind w:firstLine="480" w:firstLineChars="200"/>
        <w:rPr>
          <w:rFonts w:hint="eastAsia" w:ascii="宋体" w:hAnsi="宋体"/>
          <w:sz w:val="24"/>
        </w:rPr>
      </w:pPr>
      <w:r>
        <w:rPr>
          <w:rFonts w:hint="eastAsia" w:ascii="宋体" w:hAnsi="宋体"/>
          <w:sz w:val="24"/>
          <w:lang w:val="en-US" w:eastAsia="zh-CN"/>
        </w:rPr>
        <w:t>学业</w:t>
      </w:r>
      <w:r>
        <w:rPr>
          <w:rFonts w:hint="eastAsia" w:ascii="宋体" w:hAnsi="宋体"/>
          <w:sz w:val="24"/>
        </w:rPr>
        <w:t>成绩指《培养方案》要求的前三学年开设的全部必修课程和限选课程（含实践教学环节）的平均学分绩点（GPA），大学英语课程中仅英语</w:t>
      </w:r>
      <w:r>
        <w:rPr>
          <w:rFonts w:hint="eastAsia" w:ascii="宋体" w:hAnsi="宋体"/>
          <w:sz w:val="24"/>
          <w:lang w:val="en-US" w:eastAsia="zh-CN"/>
        </w:rPr>
        <w:t>B</w:t>
      </w:r>
      <w:r>
        <w:rPr>
          <w:rFonts w:hint="eastAsia" w:ascii="宋体" w:hAnsi="宋体"/>
          <w:sz w:val="24"/>
        </w:rPr>
        <w:t>III、</w:t>
      </w:r>
      <w:r>
        <w:rPr>
          <w:rFonts w:hint="eastAsia" w:ascii="宋体" w:hAnsi="宋体"/>
          <w:sz w:val="24"/>
          <w:lang w:val="en-US" w:eastAsia="zh-CN"/>
        </w:rPr>
        <w:t>B</w:t>
      </w:r>
      <w:r>
        <w:rPr>
          <w:rFonts w:hint="eastAsia" w:ascii="宋体" w:hAnsi="宋体"/>
          <w:sz w:val="24"/>
        </w:rPr>
        <w:t>IV计入</w:t>
      </w:r>
    </w:p>
    <w:p w14:paraId="57EA6E79">
      <w:pPr>
        <w:spacing w:line="360" w:lineRule="auto"/>
        <w:ind w:firstLine="480" w:firstLineChars="200"/>
        <w:rPr>
          <w:rFonts w:hint="eastAsia" w:ascii="宋体" w:hAnsi="宋体"/>
          <w:sz w:val="24"/>
        </w:rPr>
      </w:pPr>
    </w:p>
    <w:p w14:paraId="7719624A">
      <w:pPr>
        <w:spacing w:line="360" w:lineRule="auto"/>
        <w:ind w:firstLine="480" w:firstLineChars="200"/>
        <w:rPr>
          <w:rFonts w:hint="eastAsia" w:ascii="宋体" w:hAnsi="宋体"/>
          <w:sz w:val="24"/>
        </w:rPr>
      </w:pPr>
      <w:r>
        <w:rPr>
          <w:rFonts w:hint="eastAsia" w:ascii="宋体" w:hAnsi="宋体"/>
          <w:sz w:val="24"/>
        </w:rPr>
        <w:t>综合排名，军事教育、体育成绩不计入综合排名。</w:t>
      </w:r>
    </w:p>
    <w:p w14:paraId="1A848389">
      <w:pPr>
        <w:spacing w:line="360" w:lineRule="auto"/>
        <w:ind w:firstLine="480" w:firstLineChars="200"/>
        <w:rPr>
          <w:rFonts w:hint="eastAsia" w:ascii="宋体" w:hAnsi="宋体"/>
          <w:sz w:val="24"/>
        </w:rPr>
      </w:pPr>
      <w:r>
        <w:rPr>
          <w:rFonts w:hint="eastAsia" w:ascii="宋体" w:hAnsi="宋体"/>
          <w:sz w:val="24"/>
        </w:rPr>
        <w:t>综合排名相同的学生，按学业成绩高低排名。</w:t>
      </w:r>
    </w:p>
    <w:p w14:paraId="69C2E8AC">
      <w:pPr>
        <w:spacing w:line="360" w:lineRule="auto"/>
        <w:ind w:firstLine="480" w:firstLineChars="200"/>
        <w:rPr>
          <w:rFonts w:hint="eastAsia" w:ascii="宋体" w:hAnsi="宋体"/>
          <w:sz w:val="24"/>
        </w:rPr>
      </w:pPr>
      <w:r>
        <w:rPr>
          <w:rFonts w:hint="eastAsia" w:ascii="宋体" w:hAnsi="宋体"/>
          <w:sz w:val="24"/>
        </w:rPr>
        <w:t>2.全院所有应届毕业学生均须参加本专业的综合排名，其中：</w:t>
      </w:r>
    </w:p>
    <w:p w14:paraId="7E67AF22">
      <w:pPr>
        <w:spacing w:line="360" w:lineRule="auto"/>
        <w:ind w:firstLine="480" w:firstLineChars="200"/>
        <w:rPr>
          <w:rFonts w:hint="eastAsia" w:ascii="宋体" w:hAnsi="宋体"/>
          <w:sz w:val="24"/>
        </w:rPr>
      </w:pPr>
      <w:r>
        <w:rPr>
          <w:rFonts w:hint="eastAsia" w:ascii="宋体" w:hAnsi="宋体"/>
          <w:sz w:val="24"/>
          <w:lang w:val="en-US" w:eastAsia="zh-CN"/>
        </w:rPr>
        <w:t>普通</w:t>
      </w:r>
      <w:r>
        <w:rPr>
          <w:rFonts w:hint="eastAsia" w:ascii="宋体" w:hAnsi="宋体"/>
          <w:sz w:val="24"/>
        </w:rPr>
        <w:t>推荐的普通班学生综合排名以本专业前25%的学生学业成绩为选拔线，在计算素质类项目加分后，推免成绩达到选拔线及以上的学生具备推免资格。</w:t>
      </w:r>
    </w:p>
    <w:p w14:paraId="40480A7C">
      <w:pPr>
        <w:spacing w:line="360" w:lineRule="auto"/>
        <w:ind w:firstLine="480" w:firstLineChars="200"/>
        <w:rPr>
          <w:rFonts w:hint="eastAsia" w:ascii="宋体" w:hAnsi="宋体"/>
          <w:sz w:val="24"/>
        </w:rPr>
      </w:pPr>
      <w:r>
        <w:rPr>
          <w:rFonts w:hint="eastAsia" w:ascii="宋体" w:hAnsi="宋体"/>
          <w:sz w:val="24"/>
        </w:rPr>
        <w:t>3.综合排名时如有不能被推荐（如：违纪处分未被解除、自愿放弃等）的学生，学院不得将这部分学生剔除后重新排名,不得将未进入推荐范围的学生递补入围。</w:t>
      </w:r>
    </w:p>
    <w:p w14:paraId="0745C14C">
      <w:pPr>
        <w:spacing w:line="360" w:lineRule="auto"/>
        <w:ind w:firstLine="480" w:firstLineChars="200"/>
        <w:rPr>
          <w:rFonts w:hint="eastAsia" w:ascii="宋体" w:hAnsi="宋体"/>
          <w:sz w:val="24"/>
        </w:rPr>
      </w:pPr>
      <w:r>
        <w:rPr>
          <w:rFonts w:hint="eastAsia" w:ascii="宋体" w:hAnsi="宋体"/>
          <w:sz w:val="24"/>
        </w:rPr>
        <w:t>4.学院应引导学生全面发展，支持学生参与科学研究和各类竞赛、参军入伍服兵役、参加志愿服务、到国际组织实习。</w:t>
      </w:r>
    </w:p>
    <w:p w14:paraId="3FE871EB">
      <w:pPr>
        <w:pStyle w:val="9"/>
        <w:spacing w:before="156" w:beforeLines="50" w:after="156" w:afterLines="50" w:line="360" w:lineRule="auto"/>
        <w:ind w:left="510" w:firstLine="0" w:firstLineChars="0"/>
        <w:jc w:val="center"/>
        <w:rPr>
          <w:b/>
          <w:sz w:val="24"/>
        </w:rPr>
      </w:pPr>
      <w:r>
        <w:rPr>
          <w:rFonts w:hint="eastAsia"/>
          <w:b/>
          <w:sz w:val="24"/>
        </w:rPr>
        <w:t>第三章 推荐程序</w:t>
      </w:r>
    </w:p>
    <w:p w14:paraId="0F7B010B">
      <w:pPr>
        <w:spacing w:line="360" w:lineRule="auto"/>
        <w:ind w:firstLine="480" w:firstLineChars="200"/>
        <w:rPr>
          <w:rFonts w:hint="eastAsia" w:ascii="宋体" w:hAnsi="宋体"/>
          <w:sz w:val="24"/>
        </w:rPr>
      </w:pPr>
      <w:r>
        <w:rPr>
          <w:rFonts w:hint="eastAsia" w:ascii="宋体" w:hAnsi="宋体"/>
          <w:sz w:val="24"/>
        </w:rPr>
        <w:t>一、学院严格按照《吉林大学推荐优秀应届本科毕业生免试攻读研究生工作管理办法》</w:t>
      </w:r>
      <w:r>
        <w:rPr>
          <w:rFonts w:hint="eastAsia" w:ascii="宋体" w:hAnsi="宋体"/>
          <w:sz w:val="24"/>
          <w:lang w:val="en-US" w:eastAsia="zh-CN"/>
        </w:rPr>
        <w:t>等</w:t>
      </w:r>
      <w:r>
        <w:rPr>
          <w:rFonts w:hint="eastAsia" w:ascii="宋体" w:hAnsi="宋体"/>
          <w:sz w:val="24"/>
        </w:rPr>
        <w:t>相关规定，在教务管理系统中审核本学院全体学生学业成绩。学院成立专家审核小组，按照</w:t>
      </w:r>
      <w:r>
        <w:rPr>
          <w:rFonts w:hint="eastAsia" w:ascii="宋体" w:hAnsi="宋体"/>
          <w:sz w:val="24"/>
          <w:lang w:val="en-US" w:eastAsia="zh-CN"/>
        </w:rPr>
        <w:t>本细则及</w:t>
      </w:r>
      <w:r>
        <w:rPr>
          <w:rFonts w:hint="eastAsia" w:ascii="宋体" w:hAnsi="宋体"/>
          <w:sz w:val="24"/>
        </w:rPr>
        <w:t>《</w:t>
      </w:r>
      <w:r>
        <w:rPr>
          <w:rFonts w:hint="eastAsia" w:ascii="宋体" w:hAnsi="宋体"/>
          <w:sz w:val="24"/>
          <w:lang w:val="en-US" w:eastAsia="zh-CN"/>
        </w:rPr>
        <w:t>历史文化学院</w:t>
      </w:r>
      <w:r>
        <w:rPr>
          <w:rFonts w:hint="eastAsia" w:ascii="宋体" w:hAnsi="宋体"/>
          <w:sz w:val="24"/>
        </w:rPr>
        <w:t>本科生推免素质类项目加分标准》，对申请推免资格学生的素质项目进行审核鉴定，排除抄袭、造假、冒名及有名无实等情况，组织相关学生在学院范围内进行公开答辩，审核认定学生的学术专长，确定加分分值，加分最高不超过0.4平均学分绩点（GPA）[体育竞赛体系加分最高不超过1.0平均学分绩点（GPA）]，计算综合排名。同类成果中不累计加分，取代表作的最高加分计入推免综合成绩；五大类别间的加分允许累加，但体育竞赛体系学生累计加分最高不超过1.0GPA，其他学生累计加分最高不超过0.4GPA；加分后综合排名相同的学生，按学业成绩高低排名。</w:t>
      </w:r>
    </w:p>
    <w:p w14:paraId="164F6C26">
      <w:pPr>
        <w:spacing w:line="360" w:lineRule="auto"/>
        <w:ind w:firstLine="480" w:firstLineChars="200"/>
        <w:rPr>
          <w:rFonts w:hint="eastAsia" w:ascii="宋体" w:hAnsi="宋体"/>
          <w:sz w:val="24"/>
        </w:rPr>
      </w:pPr>
      <w:r>
        <w:rPr>
          <w:rFonts w:hint="eastAsia" w:ascii="宋体" w:hAnsi="宋体"/>
          <w:sz w:val="24"/>
        </w:rPr>
        <w:t>素质类加分名单在学院网站公示</w:t>
      </w:r>
      <w:r>
        <w:rPr>
          <w:rFonts w:hint="eastAsia" w:ascii="宋体" w:hAnsi="宋体"/>
          <w:sz w:val="24"/>
          <w:lang w:val="en-US" w:eastAsia="zh-CN"/>
        </w:rPr>
        <w:t>7</w:t>
      </w:r>
      <w:r>
        <w:rPr>
          <w:rFonts w:hint="eastAsia" w:ascii="宋体" w:hAnsi="宋体"/>
          <w:sz w:val="24"/>
        </w:rPr>
        <w:t>个工作日。</w:t>
      </w:r>
    </w:p>
    <w:p w14:paraId="0720072F">
      <w:pPr>
        <w:spacing w:line="360" w:lineRule="auto"/>
        <w:ind w:firstLine="480" w:firstLineChars="200"/>
        <w:rPr>
          <w:rFonts w:hint="eastAsia" w:ascii="宋体" w:hAnsi="宋体"/>
          <w:sz w:val="24"/>
        </w:rPr>
      </w:pPr>
      <w:r>
        <w:rPr>
          <w:rFonts w:hint="eastAsia" w:ascii="宋体" w:hAnsi="宋体"/>
          <w:sz w:val="24"/>
        </w:rPr>
        <w:t>二、符合申请条件的学生应在规定的时间内向所在学院提出申请，提交相关证明材料，学生只能申报</w:t>
      </w:r>
      <w:r>
        <w:rPr>
          <w:rFonts w:hint="eastAsia" w:ascii="宋体" w:hAnsi="宋体"/>
          <w:sz w:val="24"/>
          <w:lang w:val="en-US" w:eastAsia="zh-CN"/>
        </w:rPr>
        <w:t>普通</w:t>
      </w:r>
      <w:r>
        <w:rPr>
          <w:rFonts w:hint="eastAsia" w:ascii="宋体" w:hAnsi="宋体"/>
          <w:sz w:val="24"/>
        </w:rPr>
        <w:t>推荐、“专项推免补偿计划”推荐其中一项，不可兼报。</w:t>
      </w:r>
    </w:p>
    <w:p w14:paraId="57E2CBD6">
      <w:pPr>
        <w:spacing w:line="360" w:lineRule="auto"/>
        <w:ind w:firstLine="480" w:firstLineChars="200"/>
        <w:rPr>
          <w:rFonts w:hint="eastAsia" w:ascii="宋体" w:hAnsi="宋体"/>
          <w:sz w:val="24"/>
        </w:rPr>
      </w:pPr>
      <w:r>
        <w:rPr>
          <w:rFonts w:hint="eastAsia" w:ascii="宋体" w:hAnsi="宋体"/>
          <w:sz w:val="24"/>
        </w:rPr>
        <w:t>三、学院依据学校下达推荐名额120%的比例，确定申报</w:t>
      </w:r>
      <w:r>
        <w:rPr>
          <w:rFonts w:hint="eastAsia" w:ascii="宋体" w:hAnsi="宋体"/>
          <w:sz w:val="24"/>
          <w:lang w:val="en-US" w:eastAsia="zh-CN"/>
        </w:rPr>
        <w:t>普通</w:t>
      </w:r>
      <w:r>
        <w:rPr>
          <w:rFonts w:hint="eastAsia" w:ascii="宋体" w:hAnsi="宋体"/>
          <w:sz w:val="24"/>
        </w:rPr>
        <w:t>推荐、“专项推免补偿计划”推荐方式的人选，由学院工作小组组织专家组择优确定最终推荐人选名单上报学校。</w:t>
      </w:r>
    </w:p>
    <w:p w14:paraId="2418CD40">
      <w:pPr>
        <w:spacing w:line="360" w:lineRule="auto"/>
        <w:ind w:firstLine="480" w:firstLineChars="200"/>
        <w:rPr>
          <w:rFonts w:hint="eastAsia" w:ascii="宋体" w:hAnsi="宋体"/>
          <w:sz w:val="24"/>
        </w:rPr>
      </w:pPr>
    </w:p>
    <w:p w14:paraId="22B58EF3">
      <w:pPr>
        <w:pStyle w:val="9"/>
        <w:spacing w:before="156" w:beforeLines="50" w:after="156" w:afterLines="50" w:line="360" w:lineRule="auto"/>
        <w:ind w:left="510" w:firstLine="0" w:firstLineChars="0"/>
        <w:jc w:val="center"/>
        <w:rPr>
          <w:rFonts w:hint="eastAsia"/>
          <w:b/>
          <w:sz w:val="24"/>
        </w:rPr>
      </w:pPr>
      <w:r>
        <w:rPr>
          <w:rFonts w:hint="eastAsia"/>
          <w:b/>
          <w:sz w:val="24"/>
        </w:rPr>
        <w:t>第四章  管理与监督</w:t>
      </w:r>
    </w:p>
    <w:p w14:paraId="18342674">
      <w:pPr>
        <w:spacing w:line="360" w:lineRule="auto"/>
        <w:ind w:firstLine="480" w:firstLineChars="200"/>
        <w:rPr>
          <w:rFonts w:hint="eastAsia" w:ascii="宋体" w:hAnsi="宋体"/>
          <w:sz w:val="24"/>
        </w:rPr>
      </w:pPr>
      <w:r>
        <w:rPr>
          <w:rFonts w:hint="eastAsia" w:ascii="宋体" w:hAnsi="宋体"/>
          <w:sz w:val="24"/>
        </w:rPr>
        <w:t>一、推免工作全过程接受全院师生和社会监督，学院推免监督工作小组受理相关问题举报，对违纪违规工作人员按相关规定严肃处理。</w:t>
      </w:r>
    </w:p>
    <w:p w14:paraId="72EF50CD">
      <w:pPr>
        <w:spacing w:line="360" w:lineRule="auto"/>
        <w:ind w:firstLine="480" w:firstLineChars="200"/>
        <w:rPr>
          <w:rFonts w:hint="eastAsia" w:ascii="宋体" w:hAnsi="宋体"/>
          <w:sz w:val="24"/>
        </w:rPr>
      </w:pPr>
      <w:r>
        <w:rPr>
          <w:rFonts w:hint="eastAsia" w:ascii="宋体" w:hAnsi="宋体"/>
          <w:sz w:val="24"/>
        </w:rPr>
        <w:t>二、推免工作的参与人员如有直系亲属或利益相关人员参加选拔推荐的，相关工作人员应回避当年的推免工作。</w:t>
      </w:r>
    </w:p>
    <w:p w14:paraId="17672167">
      <w:pPr>
        <w:spacing w:line="360" w:lineRule="auto"/>
        <w:ind w:firstLine="480" w:firstLineChars="200"/>
        <w:rPr>
          <w:rFonts w:hint="eastAsia" w:ascii="宋体" w:hAnsi="宋体"/>
          <w:sz w:val="24"/>
        </w:rPr>
      </w:pPr>
      <w:r>
        <w:rPr>
          <w:rFonts w:hint="eastAsia" w:ascii="宋体" w:hAnsi="宋体"/>
          <w:sz w:val="24"/>
        </w:rPr>
        <w:t>三、对在申请和参加选拔推荐过程中弄虚作假的学生，一经发现，即取消其推免资格；对已录取的学生取消其录取资格和学籍，按有关规定对其做出相应处理。</w:t>
      </w:r>
    </w:p>
    <w:p w14:paraId="6EBEBCD0">
      <w:pPr>
        <w:spacing w:line="360" w:lineRule="auto"/>
        <w:ind w:firstLine="480" w:firstLineChars="200"/>
        <w:rPr>
          <w:rFonts w:hint="eastAsia" w:ascii="宋体" w:hAnsi="宋体"/>
          <w:sz w:val="24"/>
        </w:rPr>
      </w:pPr>
    </w:p>
    <w:p w14:paraId="508DAF2C">
      <w:pPr>
        <w:spacing w:line="360" w:lineRule="auto"/>
        <w:ind w:firstLine="6000" w:firstLineChars="2500"/>
        <w:rPr>
          <w:rFonts w:hint="eastAsia" w:ascii="宋体" w:hAnsi="宋体"/>
          <w:sz w:val="24"/>
          <w:lang w:val="en-US" w:eastAsia="zh-CN"/>
        </w:rPr>
      </w:pPr>
      <w:r>
        <w:rPr>
          <w:rFonts w:hint="eastAsia" w:ascii="宋体" w:hAnsi="宋体"/>
          <w:sz w:val="24"/>
          <w:lang w:val="en-US" w:eastAsia="zh-CN"/>
        </w:rPr>
        <w:t>历史文化学院</w:t>
      </w:r>
    </w:p>
    <w:p w14:paraId="43BD80F8">
      <w:pPr>
        <w:spacing w:line="360" w:lineRule="auto"/>
        <w:ind w:firstLine="5760" w:firstLineChars="2400"/>
        <w:rPr>
          <w:rFonts w:hint="default" w:ascii="宋体" w:hAnsi="宋体"/>
          <w:sz w:val="24"/>
          <w:lang w:val="en-US" w:eastAsia="zh-CN"/>
        </w:rPr>
      </w:pPr>
      <w:r>
        <w:rPr>
          <w:rFonts w:hint="eastAsia" w:ascii="宋体" w:hAnsi="宋体"/>
          <w:sz w:val="24"/>
          <w:lang w:val="en-US" w:eastAsia="zh-CN"/>
        </w:rPr>
        <w:t>2025年8月29</w:t>
      </w:r>
      <w:bookmarkStart w:id="0" w:name="_GoBack"/>
      <w:bookmarkEnd w:id="0"/>
      <w:r>
        <w:rPr>
          <w:rFonts w:hint="eastAsia" w:ascii="宋体" w:hAnsi="宋体"/>
          <w:sz w:val="24"/>
          <w:lang w:val="en-US" w:eastAsia="zh-CN"/>
        </w:rPr>
        <w:t>日</w:t>
      </w:r>
    </w:p>
    <w:sectPr>
      <w:footerReference r:id="rId3" w:type="default"/>
      <w:footerReference r:id="rId4" w:type="even"/>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9268">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14:paraId="394A210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B127">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221069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352C"/>
    <w:multiLevelType w:val="multilevel"/>
    <w:tmpl w:val="2010352C"/>
    <w:lvl w:ilvl="0" w:tentative="0">
      <w:start w:val="1"/>
      <w:numFmt w:val="japaneseCounting"/>
      <w:lvlText w:val="%1、"/>
      <w:lvlJc w:val="left"/>
      <w:pPr>
        <w:ind w:left="652"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1A"/>
    <w:rsid w:val="00003845"/>
    <w:rsid w:val="00004CB2"/>
    <w:rsid w:val="000064E0"/>
    <w:rsid w:val="000108DC"/>
    <w:rsid w:val="000537DB"/>
    <w:rsid w:val="00061D5F"/>
    <w:rsid w:val="00070F65"/>
    <w:rsid w:val="00071F06"/>
    <w:rsid w:val="00077C29"/>
    <w:rsid w:val="000821DD"/>
    <w:rsid w:val="00084B46"/>
    <w:rsid w:val="000A006F"/>
    <w:rsid w:val="000B6FBD"/>
    <w:rsid w:val="000C7936"/>
    <w:rsid w:val="000E54C9"/>
    <w:rsid w:val="000F0D7D"/>
    <w:rsid w:val="00110C7C"/>
    <w:rsid w:val="00123056"/>
    <w:rsid w:val="00125F11"/>
    <w:rsid w:val="00137860"/>
    <w:rsid w:val="00137D79"/>
    <w:rsid w:val="00143C61"/>
    <w:rsid w:val="00144F55"/>
    <w:rsid w:val="00153613"/>
    <w:rsid w:val="0018458D"/>
    <w:rsid w:val="001B1B2C"/>
    <w:rsid w:val="001B73CA"/>
    <w:rsid w:val="001C60F6"/>
    <w:rsid w:val="001D1390"/>
    <w:rsid w:val="001D6048"/>
    <w:rsid w:val="001D7E86"/>
    <w:rsid w:val="001E307C"/>
    <w:rsid w:val="001E3858"/>
    <w:rsid w:val="001F269E"/>
    <w:rsid w:val="0020598E"/>
    <w:rsid w:val="002179BC"/>
    <w:rsid w:val="0022015F"/>
    <w:rsid w:val="00232B90"/>
    <w:rsid w:val="0023339A"/>
    <w:rsid w:val="002342D3"/>
    <w:rsid w:val="00235CC9"/>
    <w:rsid w:val="00236B33"/>
    <w:rsid w:val="002446F2"/>
    <w:rsid w:val="00247E7F"/>
    <w:rsid w:val="002559D4"/>
    <w:rsid w:val="002561FA"/>
    <w:rsid w:val="002636E4"/>
    <w:rsid w:val="002637E9"/>
    <w:rsid w:val="0029054F"/>
    <w:rsid w:val="0029155B"/>
    <w:rsid w:val="002A1EB7"/>
    <w:rsid w:val="002A51D0"/>
    <w:rsid w:val="002C2119"/>
    <w:rsid w:val="002C70DF"/>
    <w:rsid w:val="002D62FD"/>
    <w:rsid w:val="002E0362"/>
    <w:rsid w:val="002E1A1D"/>
    <w:rsid w:val="002E63D0"/>
    <w:rsid w:val="002F1A99"/>
    <w:rsid w:val="00302843"/>
    <w:rsid w:val="00302CAC"/>
    <w:rsid w:val="00311FBC"/>
    <w:rsid w:val="003335D9"/>
    <w:rsid w:val="00365813"/>
    <w:rsid w:val="0036652A"/>
    <w:rsid w:val="00383677"/>
    <w:rsid w:val="003B1B4A"/>
    <w:rsid w:val="003B1F49"/>
    <w:rsid w:val="003B6B7A"/>
    <w:rsid w:val="003C45CF"/>
    <w:rsid w:val="003D2187"/>
    <w:rsid w:val="003D5764"/>
    <w:rsid w:val="003F2CD2"/>
    <w:rsid w:val="004143B1"/>
    <w:rsid w:val="0041470D"/>
    <w:rsid w:val="004158C5"/>
    <w:rsid w:val="00424B6E"/>
    <w:rsid w:val="00430F24"/>
    <w:rsid w:val="00431A6E"/>
    <w:rsid w:val="00440D19"/>
    <w:rsid w:val="00462B35"/>
    <w:rsid w:val="004717BE"/>
    <w:rsid w:val="00477C7C"/>
    <w:rsid w:val="00484231"/>
    <w:rsid w:val="004A7C8C"/>
    <w:rsid w:val="004D0DD9"/>
    <w:rsid w:val="004E1F9E"/>
    <w:rsid w:val="004E5E69"/>
    <w:rsid w:val="004F29B9"/>
    <w:rsid w:val="00500CDC"/>
    <w:rsid w:val="00502575"/>
    <w:rsid w:val="005061C0"/>
    <w:rsid w:val="00526D9E"/>
    <w:rsid w:val="005352F6"/>
    <w:rsid w:val="00566015"/>
    <w:rsid w:val="0057399A"/>
    <w:rsid w:val="005901D4"/>
    <w:rsid w:val="005A6CB1"/>
    <w:rsid w:val="005B07E6"/>
    <w:rsid w:val="005B43DA"/>
    <w:rsid w:val="005B5AC0"/>
    <w:rsid w:val="005C0C73"/>
    <w:rsid w:val="005C648E"/>
    <w:rsid w:val="005D421F"/>
    <w:rsid w:val="005D5AFC"/>
    <w:rsid w:val="005D5CE0"/>
    <w:rsid w:val="005E16EF"/>
    <w:rsid w:val="005E19D1"/>
    <w:rsid w:val="005E35D7"/>
    <w:rsid w:val="005F4316"/>
    <w:rsid w:val="00604586"/>
    <w:rsid w:val="006138E7"/>
    <w:rsid w:val="00613A9D"/>
    <w:rsid w:val="00620FE2"/>
    <w:rsid w:val="006327A4"/>
    <w:rsid w:val="0063361A"/>
    <w:rsid w:val="006429C6"/>
    <w:rsid w:val="0064751A"/>
    <w:rsid w:val="00650873"/>
    <w:rsid w:val="006549D8"/>
    <w:rsid w:val="00662F8D"/>
    <w:rsid w:val="00665C6E"/>
    <w:rsid w:val="00666677"/>
    <w:rsid w:val="00680649"/>
    <w:rsid w:val="006B39F7"/>
    <w:rsid w:val="006C0AE8"/>
    <w:rsid w:val="006C696C"/>
    <w:rsid w:val="006E32B9"/>
    <w:rsid w:val="006F258C"/>
    <w:rsid w:val="006F4515"/>
    <w:rsid w:val="00705D9C"/>
    <w:rsid w:val="00714955"/>
    <w:rsid w:val="00721BC0"/>
    <w:rsid w:val="007458D3"/>
    <w:rsid w:val="00764B2E"/>
    <w:rsid w:val="007749EF"/>
    <w:rsid w:val="00790F00"/>
    <w:rsid w:val="00793947"/>
    <w:rsid w:val="00795053"/>
    <w:rsid w:val="007B2212"/>
    <w:rsid w:val="007C1887"/>
    <w:rsid w:val="007C1CC3"/>
    <w:rsid w:val="007C1E43"/>
    <w:rsid w:val="007D39B5"/>
    <w:rsid w:val="007D3B13"/>
    <w:rsid w:val="007D4E45"/>
    <w:rsid w:val="00803FED"/>
    <w:rsid w:val="00822D3D"/>
    <w:rsid w:val="00824031"/>
    <w:rsid w:val="008306CF"/>
    <w:rsid w:val="00834D68"/>
    <w:rsid w:val="00846573"/>
    <w:rsid w:val="00846B0F"/>
    <w:rsid w:val="008507FF"/>
    <w:rsid w:val="00853121"/>
    <w:rsid w:val="008615B6"/>
    <w:rsid w:val="00862AF8"/>
    <w:rsid w:val="00874395"/>
    <w:rsid w:val="00882AC4"/>
    <w:rsid w:val="00896CEB"/>
    <w:rsid w:val="008A06E1"/>
    <w:rsid w:val="008A5022"/>
    <w:rsid w:val="008B21AE"/>
    <w:rsid w:val="008C49F2"/>
    <w:rsid w:val="008D0E68"/>
    <w:rsid w:val="008E17CA"/>
    <w:rsid w:val="008E3806"/>
    <w:rsid w:val="008F48D5"/>
    <w:rsid w:val="008F5079"/>
    <w:rsid w:val="008F6CA0"/>
    <w:rsid w:val="00901FC4"/>
    <w:rsid w:val="009029B6"/>
    <w:rsid w:val="009112F9"/>
    <w:rsid w:val="009301F9"/>
    <w:rsid w:val="0093038D"/>
    <w:rsid w:val="00933910"/>
    <w:rsid w:val="0093708B"/>
    <w:rsid w:val="00945711"/>
    <w:rsid w:val="00945FB9"/>
    <w:rsid w:val="009514B6"/>
    <w:rsid w:val="009551B4"/>
    <w:rsid w:val="009615FA"/>
    <w:rsid w:val="0096191D"/>
    <w:rsid w:val="00963F6B"/>
    <w:rsid w:val="009677A7"/>
    <w:rsid w:val="00986F0A"/>
    <w:rsid w:val="009A0FDA"/>
    <w:rsid w:val="009B26DE"/>
    <w:rsid w:val="009C1A37"/>
    <w:rsid w:val="009C76C2"/>
    <w:rsid w:val="009C78F0"/>
    <w:rsid w:val="009D500E"/>
    <w:rsid w:val="009E60F5"/>
    <w:rsid w:val="009F0CB3"/>
    <w:rsid w:val="009F65EA"/>
    <w:rsid w:val="00A019D1"/>
    <w:rsid w:val="00A05F42"/>
    <w:rsid w:val="00A32242"/>
    <w:rsid w:val="00A3451A"/>
    <w:rsid w:val="00A40B6F"/>
    <w:rsid w:val="00A70E49"/>
    <w:rsid w:val="00A713E2"/>
    <w:rsid w:val="00A75DE6"/>
    <w:rsid w:val="00AA0D8A"/>
    <w:rsid w:val="00AA200F"/>
    <w:rsid w:val="00AA3A28"/>
    <w:rsid w:val="00AB6791"/>
    <w:rsid w:val="00AC54D9"/>
    <w:rsid w:val="00AE36AB"/>
    <w:rsid w:val="00AE5EC4"/>
    <w:rsid w:val="00AE71FE"/>
    <w:rsid w:val="00AE7C85"/>
    <w:rsid w:val="00AF6146"/>
    <w:rsid w:val="00B0321D"/>
    <w:rsid w:val="00B03F9F"/>
    <w:rsid w:val="00B11B94"/>
    <w:rsid w:val="00B1393F"/>
    <w:rsid w:val="00B139B2"/>
    <w:rsid w:val="00B14AA5"/>
    <w:rsid w:val="00B227A0"/>
    <w:rsid w:val="00B243BA"/>
    <w:rsid w:val="00B24598"/>
    <w:rsid w:val="00B27ACE"/>
    <w:rsid w:val="00B30083"/>
    <w:rsid w:val="00B66EB1"/>
    <w:rsid w:val="00B71312"/>
    <w:rsid w:val="00B7758F"/>
    <w:rsid w:val="00B80156"/>
    <w:rsid w:val="00B87FD6"/>
    <w:rsid w:val="00B919A2"/>
    <w:rsid w:val="00BB1AC0"/>
    <w:rsid w:val="00BB5E5F"/>
    <w:rsid w:val="00BE6596"/>
    <w:rsid w:val="00BE679B"/>
    <w:rsid w:val="00BF22D8"/>
    <w:rsid w:val="00C138E6"/>
    <w:rsid w:val="00C245FE"/>
    <w:rsid w:val="00C27745"/>
    <w:rsid w:val="00C31F75"/>
    <w:rsid w:val="00C457F2"/>
    <w:rsid w:val="00C472AD"/>
    <w:rsid w:val="00C5273E"/>
    <w:rsid w:val="00C5689D"/>
    <w:rsid w:val="00C57B38"/>
    <w:rsid w:val="00CC6CF2"/>
    <w:rsid w:val="00CD7531"/>
    <w:rsid w:val="00CE22F2"/>
    <w:rsid w:val="00CE416C"/>
    <w:rsid w:val="00D02BE4"/>
    <w:rsid w:val="00D0356B"/>
    <w:rsid w:val="00D157CC"/>
    <w:rsid w:val="00D16590"/>
    <w:rsid w:val="00D24C32"/>
    <w:rsid w:val="00D415C0"/>
    <w:rsid w:val="00D436C0"/>
    <w:rsid w:val="00D4504F"/>
    <w:rsid w:val="00D67536"/>
    <w:rsid w:val="00DA41C4"/>
    <w:rsid w:val="00DB19BE"/>
    <w:rsid w:val="00DB3BE0"/>
    <w:rsid w:val="00DB5080"/>
    <w:rsid w:val="00DC0BE4"/>
    <w:rsid w:val="00DD044F"/>
    <w:rsid w:val="00DD3625"/>
    <w:rsid w:val="00DE4A03"/>
    <w:rsid w:val="00DE5633"/>
    <w:rsid w:val="00DE7EF1"/>
    <w:rsid w:val="00DF0828"/>
    <w:rsid w:val="00DF09EE"/>
    <w:rsid w:val="00DF5545"/>
    <w:rsid w:val="00E02AF7"/>
    <w:rsid w:val="00E17729"/>
    <w:rsid w:val="00E256C7"/>
    <w:rsid w:val="00E2599C"/>
    <w:rsid w:val="00E263DD"/>
    <w:rsid w:val="00E338A4"/>
    <w:rsid w:val="00E44718"/>
    <w:rsid w:val="00E63D29"/>
    <w:rsid w:val="00E676AD"/>
    <w:rsid w:val="00E93B7C"/>
    <w:rsid w:val="00EA2851"/>
    <w:rsid w:val="00F031FB"/>
    <w:rsid w:val="00F14F9C"/>
    <w:rsid w:val="00F27159"/>
    <w:rsid w:val="00F34808"/>
    <w:rsid w:val="00F4056E"/>
    <w:rsid w:val="00F47DF9"/>
    <w:rsid w:val="00F5107D"/>
    <w:rsid w:val="00F5451C"/>
    <w:rsid w:val="00F67861"/>
    <w:rsid w:val="00F73582"/>
    <w:rsid w:val="00F81B45"/>
    <w:rsid w:val="00F82C4D"/>
    <w:rsid w:val="00F9178F"/>
    <w:rsid w:val="00F95EC0"/>
    <w:rsid w:val="00FA2372"/>
    <w:rsid w:val="00FD248F"/>
    <w:rsid w:val="00FD5897"/>
    <w:rsid w:val="02CD5A6F"/>
    <w:rsid w:val="03575F49"/>
    <w:rsid w:val="04B27E83"/>
    <w:rsid w:val="095852CB"/>
    <w:rsid w:val="0BA070AF"/>
    <w:rsid w:val="12D26F77"/>
    <w:rsid w:val="155D7127"/>
    <w:rsid w:val="16BA2357"/>
    <w:rsid w:val="19B821DC"/>
    <w:rsid w:val="1A0C7744"/>
    <w:rsid w:val="1D4A132C"/>
    <w:rsid w:val="2243066A"/>
    <w:rsid w:val="232A24ED"/>
    <w:rsid w:val="236C0F73"/>
    <w:rsid w:val="27C44DE4"/>
    <w:rsid w:val="2A8113E3"/>
    <w:rsid w:val="2D2F4157"/>
    <w:rsid w:val="30FC1B13"/>
    <w:rsid w:val="37E13F2A"/>
    <w:rsid w:val="44263821"/>
    <w:rsid w:val="547D17DF"/>
    <w:rsid w:val="5CB062B1"/>
    <w:rsid w:val="6A9D470F"/>
    <w:rsid w:val="6C7A2F0B"/>
    <w:rsid w:val="7A066163"/>
    <w:rsid w:val="7B445AF6"/>
    <w:rsid w:val="7F74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p0"/>
    <w:basedOn w:val="1"/>
    <w:qFormat/>
    <w:uiPriority w:val="0"/>
    <w:pPr>
      <w:widowControl/>
    </w:pPr>
    <w:rPr>
      <w:kern w:val="0"/>
      <w:szCs w:val="21"/>
    </w:rPr>
  </w:style>
  <w:style w:type="character" w:customStyle="1" w:styleId="8">
    <w:name w:val="页眉 Char"/>
    <w:basedOn w:val="5"/>
    <w:link w:val="3"/>
    <w:qFormat/>
    <w:uiPriority w:val="0"/>
    <w:rPr>
      <w:kern w:val="2"/>
      <w:sz w:val="18"/>
      <w:szCs w:val="18"/>
    </w:rPr>
  </w:style>
  <w:style w:type="paragraph" w:styleId="9">
    <w:name w:val="List Paragraph"/>
    <w:basedOn w:val="1"/>
    <w:qFormat/>
    <w:uiPriority w:val="34"/>
    <w:pPr>
      <w:ind w:firstLine="420" w:firstLineChars="200"/>
    </w:pPr>
  </w:style>
  <w:style w:type="character" w:customStyle="1" w:styleId="10">
    <w:name w:val="markedcontent"/>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2168</Words>
  <Characters>2245</Characters>
  <Lines>17</Lines>
  <Paragraphs>4</Paragraphs>
  <TotalTime>190</TotalTime>
  <ScaleCrop>false</ScaleCrop>
  <LinksUpToDate>false</LinksUpToDate>
  <CharactersWithSpaces>2256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2024-08-22T06:15:00Z</dcterms:created>
  <dc:creator>Lenovo User</dc:creator>
  <cp:lastModifiedBy>lenovo</cp:lastModifiedBy>
  <cp:lastPrinted>2025-08-29T05:40:00Z</cp:lastPrinted>
  <dcterms:modified xsi:type="dcterms:W3CDTF">2025-08-29T09:05:03Z</dcterms:modified>
  <dc:title>吉林大学行政学院推荐2015届优秀应届本科毕业生免试攻读硕士学位研究生实施方案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eyJoZGlkIjoiMjE5ZWYzMzk3ODhjOTk4YWU5ZmFhZTI3NDIzNGY1NzkifQ==</vt:lpwstr>
  </property>
  <property fmtid="{D5CDD505-2E9C-101B-9397-08002B2CF9AE}" pid="4" name="ICV">
    <vt:lpwstr>74C03C89091C4E2EAD24054C315E02E5_12</vt:lpwstr>
  </property>
</Properties>
</file>