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00" w:line="500" w:lineRule="exact"/>
        <w:jc w:val="center"/>
        <w:rPr>
          <w:rFonts w:eastAsia="黑体"/>
          <w:kern w:val="0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</w:rPr>
        <w:t>湖南师范大学</w:t>
      </w:r>
      <w:r>
        <w:rPr>
          <w:rFonts w:eastAsia="黑体"/>
          <w:kern w:val="0"/>
          <w:sz w:val="32"/>
          <w:szCs w:val="32"/>
        </w:rPr>
        <w:t>硕士研究生入学考试自命题考试大纲</w:t>
      </w:r>
    </w:p>
    <w:p>
      <w:pPr>
        <w:widowControl/>
        <w:spacing w:after="200" w:line="500" w:lineRule="exact"/>
        <w:jc w:val="center"/>
        <w:rPr>
          <w:rFonts w:eastAsia="黑体"/>
          <w:kern w:val="0"/>
          <w:sz w:val="24"/>
          <w:szCs w:val="24"/>
        </w:rPr>
      </w:pPr>
      <w:r>
        <w:rPr>
          <w:rFonts w:hint="eastAsia" w:eastAsia="黑体"/>
          <w:kern w:val="0"/>
          <w:sz w:val="24"/>
          <w:szCs w:val="24"/>
        </w:rPr>
        <w:t>考试科目代码</w:t>
      </w:r>
      <w:r>
        <w:rPr>
          <w:rFonts w:eastAsia="黑体"/>
          <w:kern w:val="0"/>
          <w:sz w:val="24"/>
          <w:szCs w:val="24"/>
        </w:rPr>
        <w:t>：</w:t>
      </w:r>
      <w:r>
        <w:rPr>
          <w:rFonts w:hint="eastAsia" w:eastAsia="黑体"/>
          <w:kern w:val="0"/>
          <w:sz w:val="24"/>
          <w:szCs w:val="24"/>
        </w:rPr>
        <w:t>[431</w:t>
      </w:r>
      <w:r>
        <w:rPr>
          <w:rFonts w:eastAsia="黑体"/>
          <w:kern w:val="0"/>
          <w:sz w:val="24"/>
          <w:szCs w:val="24"/>
        </w:rPr>
        <w:t>]</w:t>
      </w:r>
      <w:r>
        <w:rPr>
          <w:rFonts w:hint="eastAsia" w:eastAsia="黑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eastAsia="黑体"/>
          <w:kern w:val="0"/>
          <w:sz w:val="24"/>
          <w:szCs w:val="24"/>
        </w:rPr>
        <w:t>考试科目名称</w:t>
      </w:r>
      <w:r>
        <w:rPr>
          <w:rFonts w:eastAsia="黑体"/>
          <w:kern w:val="0"/>
          <w:sz w:val="24"/>
          <w:szCs w:val="24"/>
        </w:rPr>
        <w:t>：金融学综合</w:t>
      </w:r>
    </w:p>
    <w:p>
      <w:pPr>
        <w:widowControl/>
        <w:spacing w:after="200" w:line="360" w:lineRule="auto"/>
        <w:rPr>
          <w:rFonts w:eastAsia="黑体"/>
          <w:kern w:val="0"/>
          <w:sz w:val="24"/>
          <w:szCs w:val="24"/>
        </w:rPr>
      </w:pPr>
      <w:r>
        <w:rPr>
          <w:rFonts w:eastAsia="黑体"/>
          <w:kern w:val="0"/>
          <w:sz w:val="24"/>
          <w:szCs w:val="24"/>
        </w:rPr>
        <w:t>考试内容和</w:t>
      </w:r>
      <w:r>
        <w:rPr>
          <w:rFonts w:hint="eastAsia" w:eastAsia="黑体"/>
          <w:kern w:val="0"/>
          <w:sz w:val="24"/>
          <w:szCs w:val="24"/>
        </w:rPr>
        <w:t>要点</w:t>
      </w:r>
    </w:p>
    <w:p>
      <w:pPr>
        <w:widowControl/>
        <w:spacing w:after="200" w:line="360" w:lineRule="auto"/>
        <w:ind w:firstLine="480" w:firstLineChars="20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《金融学综合》是金融硕士（MF）专业学位研究生入学统一考试的科目之一。《金融学综合》考试目的是测评考生的金融学专业素养及综合分析能力，选拔具有发展潜力的优秀人才入学，为国家经济建设培养具有良好职业道德、扎实专业能力的高层次、应用型、复合型的金融人才。该科目主要测试考生对于货币银行学、金融市场学和公司金融的概念、理论和分析方法的掌握和运用能力。</w:t>
      </w:r>
    </w:p>
    <w:p>
      <w:pPr>
        <w:widowControl/>
        <w:shd w:val="clear" w:color="auto" w:fill="FFFFFF"/>
        <w:wordWrap w:val="0"/>
        <w:spacing w:before="120" w:after="120" w:line="360" w:lineRule="auto"/>
        <w:ind w:firstLine="480" w:firstLineChars="20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color w:val="000000"/>
          <w:kern w:val="0"/>
          <w:sz w:val="24"/>
          <w:szCs w:val="18"/>
        </w:rPr>
        <w:t>具体的考试内容和要点包括：</w:t>
      </w:r>
      <w:bookmarkStart w:id="0" w:name="_GoBack"/>
      <w:bookmarkEnd w:id="0"/>
    </w:p>
    <w:p>
      <w:pPr>
        <w:widowControl/>
        <w:shd w:val="clear" w:color="auto" w:fill="FFFFFF"/>
        <w:wordWrap w:val="0"/>
        <w:spacing w:before="120" w:after="120" w:line="360" w:lineRule="auto"/>
        <w:ind w:firstLine="480" w:firstLineChars="200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 xml:space="preserve">第一部分 </w:t>
      </w:r>
      <w:r>
        <w:rPr>
          <w:rFonts w:ascii="宋体" w:hAnsi="宋体" w:cs="宋体"/>
          <w:bCs/>
          <w:color w:val="000000"/>
          <w:kern w:val="0"/>
          <w:sz w:val="24"/>
          <w:szCs w:val="18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货币银行学</w:t>
      </w:r>
    </w:p>
    <w:p>
      <w:pPr>
        <w:widowControl/>
        <w:shd w:val="clear" w:color="auto" w:fill="FFFFFF"/>
        <w:wordWrap w:val="0"/>
        <w:spacing w:before="120" w:after="120" w:line="360" w:lineRule="auto"/>
        <w:ind w:firstLine="480" w:firstLineChars="200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了解货币与货币体系、金融中介与金融市场结构、货币均衡与宏观政策的运用、金融运行的微观机制、金融发展与金融监管。</w:t>
      </w:r>
    </w:p>
    <w:p>
      <w:pPr>
        <w:widowControl/>
        <w:shd w:val="clear" w:color="auto" w:fill="FFFFFF"/>
        <w:wordWrap w:val="0"/>
        <w:spacing w:before="120" w:after="120" w:line="360" w:lineRule="auto"/>
        <w:ind w:firstLine="480" w:firstLineChars="200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理解货币对经济社会的影响、金融市场的结构及作用、货币供给理论、货币政策的实施、凯恩斯理论、货币政策传导机制的实证分析。</w:t>
      </w:r>
    </w:p>
    <w:p>
      <w:pPr>
        <w:widowControl/>
        <w:shd w:val="clear" w:color="auto" w:fill="FFFFFF"/>
        <w:wordWrap w:val="0"/>
        <w:spacing w:before="120" w:after="120" w:line="360" w:lineRule="auto"/>
        <w:ind w:firstLine="480" w:firstLineChars="200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掌握利率行为、金融体系的运行、金融衍生工具、货币需求与供给的决定因素、货币政策工具、利率对货币需求的作用、IS-LM模型中的货币政策与财政政策、总需求与总供给分析、货币政策与通货膨胀的关系、理性预期对于政策的意义。</w:t>
      </w:r>
    </w:p>
    <w:p>
      <w:pPr>
        <w:widowControl/>
        <w:shd w:val="clear" w:color="auto" w:fill="FFFFFF"/>
        <w:wordWrap w:val="0"/>
        <w:spacing w:before="120" w:after="120" w:line="360" w:lineRule="auto"/>
        <w:ind w:firstLine="480" w:firstLineChars="200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 xml:space="preserve">第二部分 </w:t>
      </w:r>
      <w:r>
        <w:rPr>
          <w:rFonts w:ascii="宋体" w:hAnsi="宋体" w:cs="宋体"/>
          <w:bCs/>
          <w:color w:val="000000"/>
          <w:kern w:val="0"/>
          <w:sz w:val="24"/>
          <w:szCs w:val="18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金融市场学</w:t>
      </w:r>
    </w:p>
    <w:p>
      <w:pPr>
        <w:widowControl/>
        <w:shd w:val="clear" w:color="auto" w:fill="FFFFFF"/>
        <w:wordWrap w:val="0"/>
        <w:spacing w:before="120" w:after="120" w:line="360" w:lineRule="auto"/>
        <w:ind w:firstLine="480" w:firstLineChars="200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了解金融市场的基本构成；掌握货币市场、债券市场、股票市场、外汇市场的基本知识和基本原理。</w:t>
      </w:r>
    </w:p>
    <w:p>
      <w:pPr>
        <w:widowControl/>
        <w:shd w:val="clear" w:color="auto" w:fill="FFFFFF"/>
        <w:wordWrap w:val="0"/>
        <w:spacing w:before="120" w:after="120" w:line="360" w:lineRule="auto"/>
        <w:ind w:firstLine="480" w:firstLineChars="200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熟悉并掌握金融市场和投资活动的各种运行机制，包括利率机制、汇率机制、风险机制、风险资产定价的原理、模型和应用。</w:t>
      </w:r>
    </w:p>
    <w:p>
      <w:pPr>
        <w:widowControl/>
        <w:shd w:val="clear" w:color="auto" w:fill="FFFFFF"/>
        <w:wordWrap w:val="0"/>
        <w:spacing w:before="120" w:after="120" w:line="360" w:lineRule="auto"/>
        <w:ind w:firstLine="480" w:firstLineChars="200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掌握金融资产投资价值分析方法，包括债券投资价值分析、股票投资价值分析、投资组合管理和业绩评估等。</w:t>
      </w:r>
    </w:p>
    <w:p>
      <w:pPr>
        <w:widowControl/>
        <w:shd w:val="clear" w:color="auto" w:fill="FFFFFF"/>
        <w:wordWrap w:val="0"/>
        <w:spacing w:before="120" w:after="120" w:line="360" w:lineRule="auto"/>
        <w:ind w:firstLine="600" w:firstLineChars="250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 xml:space="preserve">第三部分 </w:t>
      </w:r>
      <w:r>
        <w:rPr>
          <w:rFonts w:ascii="宋体" w:hAnsi="宋体" w:cs="宋体"/>
          <w:bCs/>
          <w:color w:val="000000"/>
          <w:kern w:val="0"/>
          <w:sz w:val="24"/>
          <w:szCs w:val="18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公司金融</w:t>
      </w:r>
    </w:p>
    <w:p>
      <w:pPr>
        <w:widowControl/>
        <w:shd w:val="clear" w:color="auto" w:fill="FFFFFF"/>
        <w:wordWrap w:val="0"/>
        <w:spacing w:before="120" w:after="120" w:line="360" w:lineRule="auto"/>
        <w:ind w:firstLine="480" w:firstLineChars="200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了解公司理财的定义、公司治理结构与公司融资的介绍、财务报表分析与财务模型、收购的基本形式。</w:t>
      </w:r>
    </w:p>
    <w:p>
      <w:pPr>
        <w:widowControl/>
        <w:shd w:val="clear" w:color="auto" w:fill="FFFFFF"/>
        <w:wordWrap w:val="0"/>
        <w:spacing w:before="120" w:after="120" w:line="360" w:lineRule="auto"/>
        <w:ind w:firstLine="480" w:firstLineChars="200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掌握资本资产定价模型、无套利定价原理、套利定价模型、长期融资的选择、MM理论与公司资本结构、APV法与FTE法和WACC法以及三者的比较、协同效应。</w:t>
      </w:r>
    </w:p>
    <w:p>
      <w:pPr>
        <w:widowControl/>
        <w:shd w:val="clear" w:color="auto" w:fill="FFFFFF"/>
        <w:wordWrap w:val="0"/>
        <w:spacing w:before="120" w:after="120" w:line="360" w:lineRule="auto"/>
        <w:rPr>
          <w:rFonts w:ascii="宋体" w:hAnsi="宋体" w:cs="宋体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18"/>
        </w:rPr>
        <w:t>掌握折现现金流量估价、投资评价的净现值法、投资评价的回收期法和内部收益率法、投资决策的现金流量法、债券估值、股票估值、贝塔系数与财务杠杆、购买力平价说、利率平价理论、无偏远期利率和国际费雪效应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GEwODcxNzg5NjIxYTEwYjg3YTg4MWEzMTRkN2Q4YjAifQ=="/>
  </w:docVars>
  <w:rsids>
    <w:rsidRoot w:val="00F00BCE"/>
    <w:rsid w:val="000858C1"/>
    <w:rsid w:val="000C10AD"/>
    <w:rsid w:val="001317EC"/>
    <w:rsid w:val="001A09BC"/>
    <w:rsid w:val="001C657A"/>
    <w:rsid w:val="001E0216"/>
    <w:rsid w:val="001E1D3D"/>
    <w:rsid w:val="001E69A4"/>
    <w:rsid w:val="00211ADE"/>
    <w:rsid w:val="00221B13"/>
    <w:rsid w:val="00284C03"/>
    <w:rsid w:val="00295097"/>
    <w:rsid w:val="002A2BC6"/>
    <w:rsid w:val="00332153"/>
    <w:rsid w:val="00394DAC"/>
    <w:rsid w:val="003A7F67"/>
    <w:rsid w:val="003C3629"/>
    <w:rsid w:val="003E01A1"/>
    <w:rsid w:val="003E705C"/>
    <w:rsid w:val="003F2872"/>
    <w:rsid w:val="00401503"/>
    <w:rsid w:val="00431D63"/>
    <w:rsid w:val="00440C6B"/>
    <w:rsid w:val="00451087"/>
    <w:rsid w:val="004B6E01"/>
    <w:rsid w:val="004D3B3A"/>
    <w:rsid w:val="004E3302"/>
    <w:rsid w:val="00515A33"/>
    <w:rsid w:val="00531E1C"/>
    <w:rsid w:val="0058564F"/>
    <w:rsid w:val="00591FCE"/>
    <w:rsid w:val="005C0FDD"/>
    <w:rsid w:val="00691EBC"/>
    <w:rsid w:val="00713719"/>
    <w:rsid w:val="007337BA"/>
    <w:rsid w:val="007C5D62"/>
    <w:rsid w:val="007F790F"/>
    <w:rsid w:val="00830372"/>
    <w:rsid w:val="00846052"/>
    <w:rsid w:val="00867624"/>
    <w:rsid w:val="008D10CE"/>
    <w:rsid w:val="0096729C"/>
    <w:rsid w:val="009950B2"/>
    <w:rsid w:val="009A6F15"/>
    <w:rsid w:val="009C2ADE"/>
    <w:rsid w:val="009D6269"/>
    <w:rsid w:val="00A1653A"/>
    <w:rsid w:val="00A417C4"/>
    <w:rsid w:val="00A656AF"/>
    <w:rsid w:val="00B13EDD"/>
    <w:rsid w:val="00B20B62"/>
    <w:rsid w:val="00BB3487"/>
    <w:rsid w:val="00C0197C"/>
    <w:rsid w:val="00C33C80"/>
    <w:rsid w:val="00D148A3"/>
    <w:rsid w:val="00D3050E"/>
    <w:rsid w:val="00D84BE3"/>
    <w:rsid w:val="00DB72AC"/>
    <w:rsid w:val="00DB75BF"/>
    <w:rsid w:val="00DE6B25"/>
    <w:rsid w:val="00DE6B6F"/>
    <w:rsid w:val="00DE776E"/>
    <w:rsid w:val="00E81784"/>
    <w:rsid w:val="00E81CBA"/>
    <w:rsid w:val="00E86952"/>
    <w:rsid w:val="00EB29C5"/>
    <w:rsid w:val="00EF09C5"/>
    <w:rsid w:val="00F00BCE"/>
    <w:rsid w:val="00F569A2"/>
    <w:rsid w:val="00FB2F9D"/>
    <w:rsid w:val="00FC7A23"/>
    <w:rsid w:val="6CA125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shang</Company>
  <Pages>2</Pages>
  <Words>850</Words>
  <Characters>867</Characters>
  <Lines>6</Lines>
  <Paragraphs>1</Paragraphs>
  <TotalTime>31</TotalTime>
  <ScaleCrop>false</ScaleCrop>
  <LinksUpToDate>false</LinksUpToDate>
  <CharactersWithSpaces>877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2017-11-22T10:24:00Z</dcterms:created>
  <dc:creator>微软用户</dc:creator>
  <cp:lastModifiedBy>ME</cp:lastModifiedBy>
  <dcterms:modified xsi:type="dcterms:W3CDTF">2022-09-21T03:05:52Z</dcterms:modified>
  <dc:title>湘潭大学金融专业硕士（MF）入学专业课程考试大纲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D446E80076AE4A98A480019408B43B66</vt:lpwstr>
  </property>
</Properties>
</file>