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BBDF5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32"/>
          <w:szCs w:val="32"/>
          <w:lang w:bidi="hi-IN"/>
        </w:rPr>
        <w:t>　</w:t>
      </w: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</w:t>
      </w:r>
      <w:r>
        <w:rPr>
          <w:rFonts w:hint="eastAsia" w:eastAsia="黑体"/>
          <w:sz w:val="32"/>
          <w:szCs w:val="32"/>
        </w:rPr>
        <w:t>科目</w:t>
      </w:r>
      <w:r>
        <w:rPr>
          <w:rFonts w:eastAsia="黑体"/>
          <w:sz w:val="32"/>
          <w:szCs w:val="32"/>
        </w:rPr>
        <w:t>考试大纲</w:t>
      </w:r>
    </w:p>
    <w:p w14:paraId="28084CF2">
      <w:pPr>
        <w:spacing w:line="500" w:lineRule="exact"/>
        <w:jc w:val="center"/>
        <w:rPr>
          <w:rFonts w:hint="eastAsia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考试科目代码：[</w:t>
      </w:r>
      <w:r>
        <w:rPr>
          <w:rFonts w:hint="eastAsia" w:eastAsia="方正书宋简体"/>
          <w:sz w:val="24"/>
        </w:rPr>
        <w:t xml:space="preserve"> </w:t>
      </w:r>
      <w:r>
        <w:rPr>
          <w:rFonts w:hint="eastAsia" w:eastAsia="方正书宋简体"/>
          <w:sz w:val="24"/>
          <w:lang w:val="en-US" w:eastAsia="zh-CN"/>
        </w:rPr>
        <w:t>726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 xml:space="preserve">] </w:t>
      </w:r>
      <w:r>
        <w:rPr>
          <w:rFonts w:hint="eastAsia" w:eastAsia="方正书宋简体"/>
          <w:sz w:val="24"/>
        </w:rPr>
        <w:t xml:space="preserve">   </w:t>
      </w:r>
      <w:r>
        <w:rPr>
          <w:rFonts w:eastAsia="方正书宋简体"/>
          <w:sz w:val="24"/>
        </w:rPr>
        <w:t xml:space="preserve">         考试科目名称：</w:t>
      </w:r>
      <w:r>
        <w:rPr>
          <w:rFonts w:hint="eastAsia" w:eastAsia="方正书宋简体"/>
          <w:sz w:val="24"/>
          <w:lang w:val="en-US" w:eastAsia="zh-CN"/>
        </w:rPr>
        <w:t>会展策划与管理</w:t>
      </w:r>
      <w:bookmarkStart w:id="0" w:name="_GoBack"/>
      <w:bookmarkEnd w:id="0"/>
      <w:r>
        <w:rPr>
          <w:rFonts w:hint="eastAsia"/>
          <w:kern w:val="0"/>
          <w:sz w:val="24"/>
          <w:lang w:bidi="hi-IN"/>
        </w:rPr>
        <w:t xml:space="preserve"> </w:t>
      </w:r>
    </w:p>
    <w:p w14:paraId="3736A42D">
      <w:pPr>
        <w:spacing w:before="156" w:beforeLines="50" w:after="156" w:afterLines="50" w:line="312" w:lineRule="auto"/>
        <w:rPr>
          <w:rFonts w:hint="eastAsia" w:eastAsia="方正书宋简体"/>
          <w:sz w:val="24"/>
        </w:rPr>
      </w:pPr>
      <w:r>
        <w:rPr>
          <w:rFonts w:hint="eastAsia" w:eastAsia="方正书宋简体"/>
          <w:sz w:val="24"/>
        </w:rPr>
        <w:t>一</w:t>
      </w:r>
      <w:r>
        <w:rPr>
          <w:rFonts w:eastAsia="方正书宋简体"/>
          <w:sz w:val="24"/>
        </w:rPr>
        <w:t>、考试内容</w:t>
      </w:r>
      <w:r>
        <w:rPr>
          <w:rFonts w:hint="eastAsia" w:eastAsia="方正书宋简体"/>
          <w:sz w:val="24"/>
        </w:rPr>
        <w:t>及要点</w:t>
      </w:r>
    </w:p>
    <w:p w14:paraId="4932918F">
      <w:pPr>
        <w:spacing w:before="156" w:beforeLines="50" w:after="156" w:afterLines="50" w:line="312" w:lineRule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第一章　</w:t>
      </w:r>
      <w:r>
        <w:rPr>
          <w:rFonts w:hint="eastAsia" w:ascii="宋体" w:hAnsi="宋体" w:cs="Times New Roman"/>
          <w:sz w:val="24"/>
          <w:lang w:val="en-US" w:eastAsia="zh-CN"/>
        </w:rPr>
        <w:t>绪论</w:t>
      </w:r>
    </w:p>
    <w:p w14:paraId="2C0BA81E"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会展的内涵</w:t>
      </w:r>
    </w:p>
    <w:p w14:paraId="2FBBB969"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会展的功能</w:t>
      </w:r>
    </w:p>
    <w:p w14:paraId="76EE7302"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会展策划的内涵</w:t>
      </w:r>
    </w:p>
    <w:p w14:paraId="4A030855"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会展策划的方法</w:t>
      </w:r>
    </w:p>
    <w:p w14:paraId="0870C9FC">
      <w:pPr>
        <w:numPr>
          <w:ilvl w:val="0"/>
          <w:numId w:val="1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会展策划的阶段与步骤</w:t>
      </w:r>
    </w:p>
    <w:p w14:paraId="55ECC0F7">
      <w:pPr>
        <w:spacing w:before="156" w:beforeLines="50" w:after="156" w:afterLines="50" w:line="312" w:lineRule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第二章　</w:t>
      </w:r>
      <w:r>
        <w:rPr>
          <w:rFonts w:hint="eastAsia" w:ascii="宋体" w:hAnsi="宋体" w:cs="Times New Roman"/>
          <w:sz w:val="24"/>
          <w:lang w:val="en-US" w:eastAsia="zh-CN"/>
        </w:rPr>
        <w:t>会展立项策划</w:t>
      </w:r>
    </w:p>
    <w:p w14:paraId="182CF2E0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会展立项原则</w:t>
      </w:r>
    </w:p>
    <w:p w14:paraId="394B621A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会展立项流程</w:t>
      </w:r>
    </w:p>
    <w:p w14:paraId="6AD8CFED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题材行业选择</w:t>
      </w:r>
    </w:p>
    <w:p w14:paraId="4E8736F1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会展题材类型</w:t>
      </w:r>
    </w:p>
    <w:p w14:paraId="2D4340E5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会展项目定位</w:t>
      </w:r>
    </w:p>
    <w:p w14:paraId="0071D289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会展主题创意</w:t>
      </w:r>
    </w:p>
    <w:p w14:paraId="4E2A7BB9">
      <w:pPr>
        <w:numPr>
          <w:ilvl w:val="0"/>
          <w:numId w:val="2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会展可行性研究</w:t>
      </w:r>
    </w:p>
    <w:p w14:paraId="46F0E95A">
      <w:pPr>
        <w:spacing w:before="156" w:beforeLines="50" w:after="156" w:afterLines="50" w:line="312" w:lineRule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第三章　</w:t>
      </w:r>
      <w:r>
        <w:rPr>
          <w:rFonts w:hint="eastAsia" w:ascii="宋体" w:hAnsi="宋体" w:cs="Times New Roman"/>
          <w:sz w:val="24"/>
          <w:lang w:val="en-US" w:eastAsia="zh-CN"/>
        </w:rPr>
        <w:t>会展同期活动策划</w:t>
      </w:r>
    </w:p>
    <w:p w14:paraId="7FE20CAE"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开幕式与巡馆策划</w:t>
      </w:r>
    </w:p>
    <w:p w14:paraId="0FF861F2"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会议</w:t>
      </w:r>
      <w:r>
        <w:rPr>
          <w:rFonts w:hint="eastAsia" w:ascii="宋体" w:hAnsi="宋体" w:cs="Times New Roman"/>
          <w:sz w:val="24"/>
          <w:lang w:val="en-US" w:eastAsia="zh-CN"/>
        </w:rPr>
        <w:t>策划</w:t>
      </w:r>
    </w:p>
    <w:p w14:paraId="124C8E7A"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赛事活动策划</w:t>
      </w:r>
    </w:p>
    <w:p w14:paraId="2F301178">
      <w:pPr>
        <w:numPr>
          <w:ilvl w:val="0"/>
          <w:numId w:val="3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表演活动策划</w:t>
      </w:r>
    </w:p>
    <w:p w14:paraId="2C81D6B0">
      <w:pPr>
        <w:spacing w:before="156" w:beforeLines="50" w:after="156" w:afterLines="50" w:line="312" w:lineRule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第四章　</w:t>
      </w:r>
      <w:r>
        <w:rPr>
          <w:rFonts w:hint="eastAsia" w:ascii="宋体" w:hAnsi="宋体" w:cs="Times New Roman"/>
          <w:sz w:val="24"/>
          <w:lang w:val="en-US" w:eastAsia="zh-CN"/>
        </w:rPr>
        <w:t>会展营销策划</w:t>
      </w:r>
    </w:p>
    <w:p w14:paraId="0CDD8ABC"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博览会招展策划</w:t>
      </w:r>
    </w:p>
    <w:p w14:paraId="033056D6"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专业观众邀约策划</w:t>
      </w:r>
    </w:p>
    <w:p w14:paraId="4077CB20">
      <w:pPr>
        <w:numPr>
          <w:ilvl w:val="0"/>
          <w:numId w:val="4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会展宣传策划</w:t>
      </w:r>
    </w:p>
    <w:p w14:paraId="4DCDD26A">
      <w:pPr>
        <w:spacing w:before="156" w:beforeLines="50" w:after="156" w:afterLines="50" w:line="312" w:lineRule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第五章　</w:t>
      </w:r>
      <w:r>
        <w:rPr>
          <w:rFonts w:hint="eastAsia" w:ascii="宋体" w:hAnsi="宋体" w:cs="Times New Roman"/>
          <w:sz w:val="24"/>
          <w:lang w:val="en-US" w:eastAsia="zh-CN"/>
        </w:rPr>
        <w:t>会展现场管理</w:t>
      </w:r>
    </w:p>
    <w:p w14:paraId="16445FFD"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会展场地管理</w:t>
      </w:r>
    </w:p>
    <w:p w14:paraId="353A2B0D"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会展服务管理</w:t>
      </w:r>
    </w:p>
    <w:p w14:paraId="5B0F7C79">
      <w:pPr>
        <w:numPr>
          <w:ilvl w:val="0"/>
          <w:numId w:val="5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人流车流管理</w:t>
      </w:r>
    </w:p>
    <w:p w14:paraId="49469368">
      <w:pPr>
        <w:spacing w:before="156" w:beforeLines="50" w:after="156" w:afterLines="50" w:line="312" w:lineRule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第六章　</w:t>
      </w:r>
      <w:r>
        <w:rPr>
          <w:rFonts w:hint="eastAsia" w:ascii="宋体" w:hAnsi="宋体" w:cs="Times New Roman"/>
          <w:sz w:val="24"/>
          <w:lang w:val="en-US" w:eastAsia="zh-CN"/>
        </w:rPr>
        <w:t>会展风险管理</w:t>
      </w:r>
    </w:p>
    <w:p w14:paraId="051A3CDE"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会展风险管理的内容、类型和识别方法</w:t>
      </w:r>
    </w:p>
    <w:p w14:paraId="6521E7DE"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会展风险评估与防范</w:t>
      </w:r>
    </w:p>
    <w:p w14:paraId="13CC90ED">
      <w:pPr>
        <w:numPr>
          <w:ilvl w:val="0"/>
          <w:numId w:val="6"/>
        </w:numPr>
        <w:spacing w:before="156" w:beforeLines="50" w:after="156" w:afterLines="50" w:line="312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 w:cs="Times New Roman"/>
          <w:sz w:val="24"/>
          <w:lang w:val="en-US" w:eastAsia="zh-CN"/>
        </w:rPr>
        <w:t>会展应急组织与处理</w:t>
      </w:r>
    </w:p>
    <w:p w14:paraId="40DA27D5">
      <w:pPr>
        <w:rPr>
          <w:rFonts w:hint="eastAsia" w:ascii="宋体" w:hAnsi="宋体"/>
          <w:sz w:val="24"/>
        </w:rPr>
      </w:pPr>
    </w:p>
    <w:p w14:paraId="1A1768E3">
      <w:pPr>
        <w:rPr>
          <w:rFonts w:hint="eastAsia" w:ascii="宋体" w:hAnsi="宋体"/>
          <w:sz w:val="24"/>
        </w:rPr>
      </w:pPr>
    </w:p>
    <w:sectPr>
      <w:footerReference r:id="rId3" w:type="default"/>
      <w:footerReference r:id="rId4" w:type="even"/>
      <w:footnotePr>
        <w:numRestart w:val="eachPage"/>
      </w:footnote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01F8C"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 w14:paraId="1D1C243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C851E"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 w14:paraId="0344FF7D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078AD"/>
    <w:multiLevelType w:val="singleLevel"/>
    <w:tmpl w:val="A4D078A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82594B5"/>
    <w:multiLevelType w:val="singleLevel"/>
    <w:tmpl w:val="182594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57D04FB"/>
    <w:multiLevelType w:val="singleLevel"/>
    <w:tmpl w:val="357D04F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9FAF509"/>
    <w:multiLevelType w:val="singleLevel"/>
    <w:tmpl w:val="59FAF5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5B516A87"/>
    <w:multiLevelType w:val="singleLevel"/>
    <w:tmpl w:val="5B516A8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6CEEA27E"/>
    <w:multiLevelType w:val="singleLevel"/>
    <w:tmpl w:val="6CEEA27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numRestart w:val="eachPag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ZDlkYmYzOTJmY2JlZmJjY2IyMjYxNDA3ZDM5MWIifQ=="/>
  </w:docVars>
  <w:rsids>
    <w:rsidRoot w:val="00172A27"/>
    <w:rsid w:val="00081E4A"/>
    <w:rsid w:val="0008726E"/>
    <w:rsid w:val="000E40FB"/>
    <w:rsid w:val="001A3095"/>
    <w:rsid w:val="00213055"/>
    <w:rsid w:val="00373178"/>
    <w:rsid w:val="003E5641"/>
    <w:rsid w:val="006769B7"/>
    <w:rsid w:val="00875049"/>
    <w:rsid w:val="0095310B"/>
    <w:rsid w:val="00B14339"/>
    <w:rsid w:val="00E22F98"/>
    <w:rsid w:val="00EA0654"/>
    <w:rsid w:val="0FCA546E"/>
    <w:rsid w:val="310437C8"/>
    <w:rsid w:val="3B996ED1"/>
    <w:rsid w:val="404E64C4"/>
    <w:rsid w:val="440115A2"/>
    <w:rsid w:val="52121BB5"/>
    <w:rsid w:val="78DC6483"/>
    <w:rsid w:val="7D093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eastAsia="黑体"/>
      <w:kern w:val="2"/>
      <w:sz w:val="36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5">
    <w:name w:val="footnote text"/>
    <w:basedOn w:val="1"/>
    <w:link w:val="18"/>
    <w:qFormat/>
    <w:uiPriority w:val="0"/>
    <w:pPr>
      <w:snapToGrid w:val="0"/>
      <w:jc w:val="left"/>
    </w:pPr>
    <w:rPr>
      <w:kern w:val="2"/>
      <w:sz w:val="18"/>
      <w:szCs w:val="18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Emphasis"/>
    <w:basedOn w:val="7"/>
    <w:qFormat/>
    <w:uiPriority w:val="0"/>
    <w:rPr>
      <w:i/>
      <w:iCs/>
    </w:rPr>
  </w:style>
  <w:style w:type="character" w:styleId="11">
    <w:name w:val="footnote reference"/>
    <w:basedOn w:val="7"/>
    <w:qFormat/>
    <w:uiPriority w:val="0"/>
    <w:rPr>
      <w:vertAlign w:val="superscript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_Style 12"/>
    <w:basedOn w:val="7"/>
    <w:qFormat/>
    <w:uiPriority w:val="0"/>
    <w:rPr>
      <w:i/>
      <w:iCs/>
      <w:color w:val="808080"/>
    </w:rPr>
  </w:style>
  <w:style w:type="character" w:customStyle="1" w:styleId="14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5">
    <w:name w:val="标题 1 Char"/>
    <w:basedOn w:val="7"/>
    <w:link w:val="2"/>
    <w:qFormat/>
    <w:uiPriority w:val="0"/>
    <w:rPr>
      <w:rFonts w:eastAsia="黑体"/>
      <w:kern w:val="2"/>
      <w:sz w:val="36"/>
    </w:rPr>
  </w:style>
  <w:style w:type="character" w:customStyle="1" w:styleId="16">
    <w:name w:val="引用 Char"/>
    <w:basedOn w:val="7"/>
    <w:link w:val="17"/>
    <w:qFormat/>
    <w:uiPriority w:val="0"/>
    <w:rPr>
      <w:i/>
      <w:iCs/>
      <w:color w:val="000000"/>
      <w:kern w:val="2"/>
      <w:sz w:val="21"/>
      <w:szCs w:val="24"/>
    </w:rPr>
  </w:style>
  <w:style w:type="paragraph" w:styleId="17">
    <w:name w:val="Quote"/>
    <w:basedOn w:val="1"/>
    <w:next w:val="1"/>
    <w:link w:val="16"/>
    <w:qFormat/>
    <w:uiPriority w:val="0"/>
    <w:rPr>
      <w:i/>
      <w:iCs/>
      <w:color w:val="000000"/>
      <w:kern w:val="2"/>
      <w:sz w:val="21"/>
      <w:szCs w:val="24"/>
    </w:rPr>
  </w:style>
  <w:style w:type="character" w:customStyle="1" w:styleId="18">
    <w:name w:val="脚注文本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9">
    <w:name w:val="_Style 18"/>
    <w:basedOn w:val="7"/>
    <w:qFormat/>
    <w:uiPriority w:val="0"/>
    <w:rPr>
      <w:b/>
      <w:bCs/>
      <w:i/>
      <w:iCs/>
      <w:color w:val="4F81BD"/>
    </w:rPr>
  </w:style>
  <w:style w:type="paragraph" w:styleId="20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281</Words>
  <Characters>283</Characters>
  <Lines>11</Lines>
  <Paragraphs>3</Paragraphs>
  <TotalTime>39</TotalTime>
  <ScaleCrop>false</ScaleCrop>
  <LinksUpToDate>false</LinksUpToDate>
  <CharactersWithSpaces>306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2013-09-01T00:23:00Z</dcterms:created>
  <dc:creator>Dell</dc:creator>
  <cp:lastModifiedBy>·璐·</cp:lastModifiedBy>
  <dcterms:modified xsi:type="dcterms:W3CDTF">2024-10-14T02:22:14Z</dcterms:modified>
  <dc:title>　2014年硕士研究生入学考试自命题考试大纲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774AEE6D915348CE84B4E22CB2B49CDB_13</vt:lpwstr>
  </property>
</Properties>
</file>