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3750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9F080C"/>
          <w:sz w:val="30"/>
          <w:szCs w:val="30"/>
        </w:rPr>
      </w:pPr>
      <w:r>
        <w:rPr>
          <w:i w:val="0"/>
          <w:iCs w:val="0"/>
          <w:caps w:val="0"/>
          <w:color w:val="9F080C"/>
          <w:spacing w:val="0"/>
          <w:sz w:val="30"/>
          <w:szCs w:val="30"/>
          <w:bdr w:val="none" w:color="auto" w:sz="0" w:space="0"/>
          <w:shd w:val="clear" w:fill="FFFFFF"/>
        </w:rPr>
        <w:t>关于做好医药化工学院2026届优秀本科毕业生免试攻读硕士研究生推荐工作的通知</w:t>
      </w:r>
    </w:p>
    <w:p w14:paraId="2AE8FB7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left"/>
        <w:rPr>
          <w:rFonts w:ascii="微软雅黑" w:hAnsi="微软雅黑" w:eastAsia="微软雅黑" w:cs="微软雅黑"/>
          <w:i w:val="0"/>
          <w:iCs w:val="0"/>
          <w:caps w:val="0"/>
          <w:color w:val="000000"/>
          <w:spacing w:val="0"/>
          <w:sz w:val="21"/>
          <w:szCs w:val="21"/>
        </w:rPr>
      </w:pPr>
      <w:r>
        <w:rPr>
          <w:rStyle w:val="8"/>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t>发布时间：2025-08-25 </w:t>
      </w:r>
    </w:p>
    <w:p w14:paraId="37D784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color w:val="333333"/>
        </w:rPr>
      </w:pPr>
      <w:bookmarkStart w:id="0" w:name="_GoBack"/>
      <w:bookmarkEnd w:id="0"/>
    </w:p>
    <w:p w14:paraId="024B06B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0"/>
        <w:rPr>
          <w:sz w:val="27"/>
          <w:szCs w:val="27"/>
        </w:rPr>
      </w:pPr>
      <w:r>
        <w:rPr>
          <w:rStyle w:val="7"/>
          <w:rFonts w:ascii="仿宋" w:hAnsi="仿宋" w:eastAsia="仿宋" w:cs="仿宋"/>
          <w:i w:val="0"/>
          <w:iCs w:val="0"/>
          <w:caps w:val="0"/>
          <w:color w:val="333333"/>
          <w:spacing w:val="0"/>
          <w:sz w:val="31"/>
          <w:szCs w:val="31"/>
          <w:bdr w:val="none" w:color="auto" w:sz="0" w:space="0"/>
          <w:shd w:val="clear" w:fill="FFFFFF"/>
        </w:rPr>
        <w:t>各系、各相关班级：</w:t>
      </w:r>
    </w:p>
    <w:p w14:paraId="761BEDA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435"/>
        <w:rPr>
          <w:sz w:val="27"/>
          <w:szCs w:val="27"/>
        </w:rPr>
      </w:pPr>
      <w:r>
        <w:rPr>
          <w:rFonts w:hint="eastAsia" w:ascii="仿宋" w:hAnsi="仿宋" w:eastAsia="仿宋" w:cs="仿宋"/>
          <w:i w:val="0"/>
          <w:iCs w:val="0"/>
          <w:caps w:val="0"/>
          <w:color w:val="333333"/>
          <w:spacing w:val="0"/>
          <w:sz w:val="31"/>
          <w:szCs w:val="31"/>
          <w:bdr w:val="none" w:color="auto" w:sz="0" w:space="0"/>
          <w:shd w:val="clear" w:fill="FFFFFF"/>
        </w:rPr>
        <w:t>根据</w:t>
      </w:r>
      <w:r>
        <w:rPr>
          <w:rFonts w:hint="eastAsia" w:ascii="仿宋" w:hAnsi="仿宋" w:eastAsia="仿宋" w:cs="仿宋"/>
          <w:i w:val="0"/>
          <w:iCs w:val="0"/>
          <w:caps w:val="0"/>
          <w:color w:val="000000"/>
          <w:spacing w:val="0"/>
          <w:sz w:val="31"/>
          <w:szCs w:val="31"/>
          <w:bdr w:val="none" w:color="auto" w:sz="0" w:space="0"/>
          <w:shd w:val="clear" w:fill="FFFFFF"/>
        </w:rPr>
        <w:t>《广东药科大学推荐优秀应届本科毕业生免试攻读硕士学位研究生工作管理办法》及《医药化工学院推荐2026届优秀本科毕业生免试攻读硕士研究生工作实施细则》</w:t>
      </w:r>
      <w:r>
        <w:rPr>
          <w:rFonts w:hint="eastAsia" w:ascii="仿宋" w:hAnsi="仿宋" w:eastAsia="仿宋" w:cs="仿宋"/>
          <w:i w:val="0"/>
          <w:iCs w:val="0"/>
          <w:caps w:val="0"/>
          <w:color w:val="333333"/>
          <w:spacing w:val="0"/>
          <w:sz w:val="31"/>
          <w:szCs w:val="31"/>
          <w:bdr w:val="none" w:color="auto" w:sz="0" w:space="0"/>
          <w:shd w:val="clear" w:fill="FFFFFF"/>
        </w:rPr>
        <w:t>，现将我院2026届推免工作通知如下：</w:t>
      </w:r>
    </w:p>
    <w:p w14:paraId="44AEBBB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435"/>
        <w:rPr>
          <w:sz w:val="27"/>
          <w:szCs w:val="27"/>
        </w:rPr>
      </w:pPr>
      <w:r>
        <w:rPr>
          <w:rStyle w:val="7"/>
          <w:rFonts w:hint="eastAsia" w:ascii="仿宋" w:hAnsi="仿宋" w:eastAsia="仿宋" w:cs="仿宋"/>
          <w:i w:val="0"/>
          <w:iCs w:val="0"/>
          <w:caps w:val="0"/>
          <w:color w:val="333333"/>
          <w:spacing w:val="0"/>
          <w:sz w:val="31"/>
          <w:szCs w:val="31"/>
          <w:bdr w:val="none" w:color="auto" w:sz="0" w:space="0"/>
          <w:shd w:val="clear" w:fill="FFFFFF"/>
        </w:rPr>
        <w:t>一、指标分配</w:t>
      </w:r>
    </w:p>
    <w:tbl>
      <w:tblPr>
        <w:tblW w:w="8730" w:type="dxa"/>
        <w:tblCellSpacing w:w="0"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3045"/>
        <w:gridCol w:w="2295"/>
        <w:gridCol w:w="1560"/>
        <w:gridCol w:w="1830"/>
      </w:tblGrid>
      <w:tr w14:paraId="5FC07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25" w:hRule="atLeast"/>
          <w:tblCellSpacing w:w="0" w:type="dxa"/>
        </w:trPr>
        <w:tc>
          <w:tcPr>
            <w:tcW w:w="3045" w:type="dxa"/>
            <w:tcBorders>
              <w:top w:val="single" w:color="000000" w:sz="6" w:space="0"/>
              <w:left w:val="single" w:color="000000" w:sz="6" w:space="0"/>
              <w:bottom w:val="single" w:color="000000" w:sz="6" w:space="0"/>
              <w:right w:val="single" w:color="000000" w:sz="6" w:space="0"/>
            </w:tcBorders>
            <w:shd w:val="clear"/>
            <w:tcMar>
              <w:left w:w="105" w:type="dxa"/>
              <w:right w:w="105" w:type="dxa"/>
            </w:tcMar>
            <w:vAlign w:val="center"/>
          </w:tcPr>
          <w:p w14:paraId="4E7B9D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jc w:val="center"/>
              <w:textAlignment w:val="center"/>
              <w:rPr>
                <w:sz w:val="27"/>
                <w:szCs w:val="27"/>
              </w:rPr>
            </w:pPr>
            <w:r>
              <w:rPr>
                <w:rStyle w:val="7"/>
                <w:rFonts w:hint="eastAsia" w:ascii="仿宋" w:hAnsi="仿宋" w:eastAsia="仿宋" w:cs="仿宋"/>
                <w:sz w:val="28"/>
                <w:szCs w:val="28"/>
                <w:bdr w:val="none" w:color="auto" w:sz="0" w:space="0"/>
              </w:rPr>
              <w:t>专业</w:t>
            </w:r>
          </w:p>
        </w:tc>
        <w:tc>
          <w:tcPr>
            <w:tcW w:w="2295" w:type="dxa"/>
            <w:tcBorders>
              <w:top w:val="single" w:color="auto" w:sz="6" w:space="0"/>
              <w:left w:val="nil"/>
              <w:bottom w:val="single" w:color="auto" w:sz="6" w:space="0"/>
              <w:right w:val="single" w:color="auto" w:sz="6" w:space="0"/>
            </w:tcBorders>
            <w:shd w:val="clear"/>
            <w:tcMar>
              <w:left w:w="105" w:type="dxa"/>
              <w:right w:w="105" w:type="dxa"/>
            </w:tcMar>
            <w:vAlign w:val="center"/>
          </w:tcPr>
          <w:p w14:paraId="465E7D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jc w:val="center"/>
              <w:textAlignment w:val="center"/>
              <w:rPr>
                <w:sz w:val="27"/>
                <w:szCs w:val="27"/>
              </w:rPr>
            </w:pPr>
            <w:r>
              <w:rPr>
                <w:rStyle w:val="7"/>
                <w:rFonts w:hint="eastAsia" w:ascii="仿宋" w:hAnsi="仿宋" w:eastAsia="仿宋" w:cs="仿宋"/>
                <w:sz w:val="28"/>
                <w:szCs w:val="28"/>
                <w:bdr w:val="none" w:color="auto" w:sz="0" w:space="0"/>
              </w:rPr>
              <w:t>2026届应届本科毕业生数</w:t>
            </w:r>
            <w:r>
              <w:rPr>
                <w:rStyle w:val="7"/>
                <w:rFonts w:hint="eastAsia" w:ascii="仿宋" w:hAnsi="仿宋" w:eastAsia="仿宋" w:cs="仿宋"/>
                <w:spacing w:val="-15"/>
                <w:sz w:val="28"/>
                <w:szCs w:val="28"/>
                <w:bdr w:val="none" w:color="auto" w:sz="0" w:space="0"/>
              </w:rPr>
              <w:t>（人）</w:t>
            </w:r>
          </w:p>
        </w:tc>
        <w:tc>
          <w:tcPr>
            <w:tcW w:w="1560" w:type="dxa"/>
            <w:tcBorders>
              <w:top w:val="single" w:color="auto" w:sz="6" w:space="0"/>
              <w:left w:val="nil"/>
              <w:bottom w:val="single" w:color="auto" w:sz="6" w:space="0"/>
              <w:right w:val="single" w:color="auto" w:sz="6" w:space="0"/>
            </w:tcBorders>
            <w:shd w:val="clear"/>
            <w:tcMar>
              <w:left w:w="105" w:type="dxa"/>
              <w:right w:w="105" w:type="dxa"/>
            </w:tcMar>
            <w:vAlign w:val="center"/>
          </w:tcPr>
          <w:p w14:paraId="5B460D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jc w:val="center"/>
              <w:textAlignment w:val="center"/>
              <w:rPr>
                <w:sz w:val="27"/>
                <w:szCs w:val="27"/>
              </w:rPr>
            </w:pPr>
            <w:r>
              <w:rPr>
                <w:rStyle w:val="7"/>
                <w:rFonts w:hint="eastAsia" w:ascii="仿宋" w:hAnsi="仿宋" w:eastAsia="仿宋" w:cs="仿宋"/>
                <w:sz w:val="28"/>
                <w:szCs w:val="28"/>
                <w:bdr w:val="none" w:color="auto" w:sz="0" w:space="0"/>
              </w:rPr>
              <w:t>各专业推免生名额</w:t>
            </w:r>
          </w:p>
        </w:tc>
        <w:tc>
          <w:tcPr>
            <w:tcW w:w="1830" w:type="dxa"/>
            <w:tcBorders>
              <w:top w:val="single" w:color="auto" w:sz="6" w:space="0"/>
              <w:left w:val="nil"/>
              <w:bottom w:val="single" w:color="auto" w:sz="6" w:space="0"/>
              <w:right w:val="single" w:color="auto" w:sz="6" w:space="0"/>
            </w:tcBorders>
            <w:shd w:val="clear"/>
            <w:tcMar>
              <w:left w:w="105" w:type="dxa"/>
              <w:right w:w="105" w:type="dxa"/>
            </w:tcMar>
            <w:vAlign w:val="center"/>
          </w:tcPr>
          <w:p w14:paraId="36661BB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jc w:val="center"/>
              <w:textAlignment w:val="center"/>
              <w:rPr>
                <w:sz w:val="27"/>
                <w:szCs w:val="27"/>
              </w:rPr>
            </w:pPr>
            <w:r>
              <w:rPr>
                <w:rStyle w:val="7"/>
                <w:rFonts w:hint="eastAsia" w:ascii="仿宋" w:hAnsi="仿宋" w:eastAsia="仿宋" w:cs="仿宋"/>
                <w:sz w:val="28"/>
                <w:szCs w:val="28"/>
                <w:bdr w:val="none" w:color="auto" w:sz="0" w:space="0"/>
              </w:rPr>
              <w:t>拟推荐名单公示人数</w:t>
            </w:r>
          </w:p>
        </w:tc>
      </w:tr>
      <w:tr w14:paraId="00579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0" w:hRule="atLeast"/>
          <w:tblCellSpacing w:w="0" w:type="dxa"/>
        </w:trPr>
        <w:tc>
          <w:tcPr>
            <w:tcW w:w="304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1C5DE2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jc w:val="center"/>
              <w:textAlignment w:val="center"/>
              <w:rPr>
                <w:sz w:val="27"/>
                <w:szCs w:val="27"/>
              </w:rPr>
            </w:pPr>
            <w:r>
              <w:rPr>
                <w:rFonts w:hint="eastAsia" w:ascii="仿宋" w:hAnsi="仿宋" w:eastAsia="仿宋" w:cs="仿宋"/>
                <w:sz w:val="28"/>
                <w:szCs w:val="28"/>
                <w:bdr w:val="none" w:color="auto" w:sz="0" w:space="0"/>
              </w:rPr>
              <w:t>化妆品科学与技术</w:t>
            </w:r>
          </w:p>
        </w:tc>
        <w:tc>
          <w:tcPr>
            <w:tcW w:w="2295" w:type="dxa"/>
            <w:tcBorders>
              <w:top w:val="nil"/>
              <w:left w:val="nil"/>
              <w:bottom w:val="single" w:color="auto" w:sz="6" w:space="0"/>
              <w:right w:val="single" w:color="auto" w:sz="6" w:space="0"/>
            </w:tcBorders>
            <w:shd w:val="clear"/>
            <w:tcMar>
              <w:left w:w="105" w:type="dxa"/>
              <w:right w:w="105" w:type="dxa"/>
            </w:tcMar>
            <w:vAlign w:val="center"/>
          </w:tcPr>
          <w:p w14:paraId="3EF9EC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jc w:val="center"/>
              <w:textAlignment w:val="center"/>
              <w:rPr>
                <w:sz w:val="27"/>
                <w:szCs w:val="27"/>
              </w:rPr>
            </w:pPr>
            <w:r>
              <w:rPr>
                <w:rFonts w:hint="eastAsia" w:ascii="仿宋" w:hAnsi="仿宋" w:eastAsia="仿宋" w:cs="仿宋"/>
                <w:sz w:val="28"/>
                <w:szCs w:val="28"/>
                <w:bdr w:val="none" w:color="auto" w:sz="0" w:space="0"/>
              </w:rPr>
              <w:t>123</w:t>
            </w:r>
          </w:p>
        </w:tc>
        <w:tc>
          <w:tcPr>
            <w:tcW w:w="1560" w:type="dxa"/>
            <w:tcBorders>
              <w:top w:val="nil"/>
              <w:left w:val="nil"/>
              <w:bottom w:val="single" w:color="auto" w:sz="6" w:space="0"/>
              <w:right w:val="single" w:color="auto" w:sz="6" w:space="0"/>
            </w:tcBorders>
            <w:shd w:val="clear"/>
            <w:tcMar>
              <w:left w:w="105" w:type="dxa"/>
              <w:right w:w="105" w:type="dxa"/>
            </w:tcMar>
            <w:vAlign w:val="center"/>
          </w:tcPr>
          <w:p w14:paraId="7B4B57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jc w:val="center"/>
              <w:textAlignment w:val="center"/>
              <w:rPr>
                <w:sz w:val="27"/>
                <w:szCs w:val="27"/>
              </w:rPr>
            </w:pPr>
            <w:r>
              <w:rPr>
                <w:rFonts w:hint="eastAsia" w:ascii="仿宋" w:hAnsi="仿宋" w:eastAsia="仿宋" w:cs="仿宋"/>
                <w:sz w:val="28"/>
                <w:szCs w:val="28"/>
                <w:bdr w:val="none" w:color="auto" w:sz="0" w:space="0"/>
              </w:rPr>
              <w:t>3</w:t>
            </w:r>
          </w:p>
        </w:tc>
        <w:tc>
          <w:tcPr>
            <w:tcW w:w="1830" w:type="dxa"/>
            <w:tcBorders>
              <w:top w:val="nil"/>
              <w:left w:val="nil"/>
              <w:bottom w:val="single" w:color="auto" w:sz="6" w:space="0"/>
              <w:right w:val="single" w:color="auto" w:sz="6" w:space="0"/>
            </w:tcBorders>
            <w:shd w:val="clear"/>
            <w:tcMar>
              <w:left w:w="105" w:type="dxa"/>
              <w:right w:w="105" w:type="dxa"/>
            </w:tcMar>
            <w:vAlign w:val="center"/>
          </w:tcPr>
          <w:p w14:paraId="0F1353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jc w:val="center"/>
              <w:textAlignment w:val="center"/>
              <w:rPr>
                <w:sz w:val="27"/>
                <w:szCs w:val="27"/>
              </w:rPr>
            </w:pPr>
            <w:r>
              <w:rPr>
                <w:rFonts w:hint="eastAsia" w:ascii="仿宋" w:hAnsi="仿宋" w:eastAsia="仿宋" w:cs="仿宋"/>
                <w:sz w:val="28"/>
                <w:szCs w:val="28"/>
                <w:bdr w:val="none" w:color="auto" w:sz="0" w:space="0"/>
              </w:rPr>
              <w:t>4</w:t>
            </w:r>
          </w:p>
        </w:tc>
      </w:tr>
      <w:tr w14:paraId="102E9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blCellSpacing w:w="0" w:type="dxa"/>
        </w:trPr>
        <w:tc>
          <w:tcPr>
            <w:tcW w:w="304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3987D5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jc w:val="center"/>
              <w:textAlignment w:val="center"/>
              <w:rPr>
                <w:sz w:val="27"/>
                <w:szCs w:val="27"/>
              </w:rPr>
            </w:pPr>
            <w:r>
              <w:rPr>
                <w:rFonts w:hint="eastAsia" w:ascii="仿宋" w:hAnsi="仿宋" w:eastAsia="仿宋" w:cs="仿宋"/>
                <w:sz w:val="28"/>
                <w:szCs w:val="28"/>
                <w:bdr w:val="none" w:color="auto" w:sz="0" w:space="0"/>
              </w:rPr>
              <w:t>应用化学</w:t>
            </w:r>
          </w:p>
        </w:tc>
        <w:tc>
          <w:tcPr>
            <w:tcW w:w="2295" w:type="dxa"/>
            <w:tcBorders>
              <w:top w:val="nil"/>
              <w:left w:val="nil"/>
              <w:bottom w:val="single" w:color="auto" w:sz="6" w:space="0"/>
              <w:right w:val="single" w:color="auto" w:sz="6" w:space="0"/>
            </w:tcBorders>
            <w:shd w:val="clear"/>
            <w:tcMar>
              <w:left w:w="105" w:type="dxa"/>
              <w:right w:w="105" w:type="dxa"/>
            </w:tcMar>
            <w:vAlign w:val="center"/>
          </w:tcPr>
          <w:p w14:paraId="7444ED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jc w:val="center"/>
              <w:textAlignment w:val="center"/>
              <w:rPr>
                <w:sz w:val="27"/>
                <w:szCs w:val="27"/>
              </w:rPr>
            </w:pPr>
            <w:r>
              <w:rPr>
                <w:rFonts w:hint="eastAsia" w:ascii="仿宋" w:hAnsi="仿宋" w:eastAsia="仿宋" w:cs="仿宋"/>
                <w:sz w:val="28"/>
                <w:szCs w:val="28"/>
                <w:bdr w:val="none" w:color="auto" w:sz="0" w:space="0"/>
              </w:rPr>
              <w:t>119</w:t>
            </w:r>
          </w:p>
        </w:tc>
        <w:tc>
          <w:tcPr>
            <w:tcW w:w="1560" w:type="dxa"/>
            <w:tcBorders>
              <w:top w:val="nil"/>
              <w:left w:val="nil"/>
              <w:bottom w:val="single" w:color="auto" w:sz="6" w:space="0"/>
              <w:right w:val="single" w:color="auto" w:sz="6" w:space="0"/>
            </w:tcBorders>
            <w:shd w:val="clear"/>
            <w:tcMar>
              <w:left w:w="105" w:type="dxa"/>
              <w:right w:w="105" w:type="dxa"/>
            </w:tcMar>
            <w:vAlign w:val="center"/>
          </w:tcPr>
          <w:p w14:paraId="5F4F9A9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jc w:val="center"/>
              <w:textAlignment w:val="center"/>
              <w:rPr>
                <w:sz w:val="27"/>
                <w:szCs w:val="27"/>
              </w:rPr>
            </w:pPr>
            <w:r>
              <w:rPr>
                <w:rFonts w:hint="eastAsia" w:ascii="仿宋" w:hAnsi="仿宋" w:eastAsia="仿宋" w:cs="仿宋"/>
                <w:sz w:val="28"/>
                <w:szCs w:val="28"/>
                <w:bdr w:val="none" w:color="auto" w:sz="0" w:space="0"/>
              </w:rPr>
              <w:t>2</w:t>
            </w:r>
          </w:p>
        </w:tc>
        <w:tc>
          <w:tcPr>
            <w:tcW w:w="1830" w:type="dxa"/>
            <w:tcBorders>
              <w:top w:val="nil"/>
              <w:left w:val="nil"/>
              <w:bottom w:val="single" w:color="auto" w:sz="6" w:space="0"/>
              <w:right w:val="single" w:color="auto" w:sz="6" w:space="0"/>
            </w:tcBorders>
            <w:shd w:val="clear"/>
            <w:tcMar>
              <w:left w:w="105" w:type="dxa"/>
              <w:right w:w="105" w:type="dxa"/>
            </w:tcMar>
            <w:vAlign w:val="center"/>
          </w:tcPr>
          <w:p w14:paraId="6A36A34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jc w:val="center"/>
              <w:textAlignment w:val="center"/>
              <w:rPr>
                <w:sz w:val="27"/>
                <w:szCs w:val="27"/>
              </w:rPr>
            </w:pPr>
            <w:r>
              <w:rPr>
                <w:rFonts w:hint="eastAsia" w:ascii="仿宋" w:hAnsi="仿宋" w:eastAsia="仿宋" w:cs="仿宋"/>
                <w:sz w:val="28"/>
                <w:szCs w:val="28"/>
                <w:bdr w:val="none" w:color="auto" w:sz="0" w:space="0"/>
              </w:rPr>
              <w:t>3</w:t>
            </w:r>
          </w:p>
        </w:tc>
      </w:tr>
      <w:tr w14:paraId="1AE83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blCellSpacing w:w="0" w:type="dxa"/>
        </w:trPr>
        <w:tc>
          <w:tcPr>
            <w:tcW w:w="304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593A0A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jc w:val="center"/>
              <w:textAlignment w:val="center"/>
              <w:rPr>
                <w:sz w:val="27"/>
                <w:szCs w:val="27"/>
              </w:rPr>
            </w:pPr>
            <w:r>
              <w:rPr>
                <w:rFonts w:hint="eastAsia" w:ascii="仿宋" w:hAnsi="仿宋" w:eastAsia="仿宋" w:cs="仿宋"/>
                <w:sz w:val="28"/>
                <w:szCs w:val="28"/>
                <w:bdr w:val="none" w:color="auto" w:sz="0" w:space="0"/>
              </w:rPr>
              <w:t>高分子材料与工程</w:t>
            </w:r>
          </w:p>
        </w:tc>
        <w:tc>
          <w:tcPr>
            <w:tcW w:w="2295" w:type="dxa"/>
            <w:tcBorders>
              <w:top w:val="nil"/>
              <w:left w:val="nil"/>
              <w:bottom w:val="single" w:color="auto" w:sz="6" w:space="0"/>
              <w:right w:val="single" w:color="auto" w:sz="6" w:space="0"/>
            </w:tcBorders>
            <w:shd w:val="clear"/>
            <w:tcMar>
              <w:left w:w="105" w:type="dxa"/>
              <w:right w:w="105" w:type="dxa"/>
            </w:tcMar>
            <w:vAlign w:val="center"/>
          </w:tcPr>
          <w:p w14:paraId="694A36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jc w:val="center"/>
              <w:textAlignment w:val="center"/>
              <w:rPr>
                <w:sz w:val="27"/>
                <w:szCs w:val="27"/>
              </w:rPr>
            </w:pPr>
            <w:r>
              <w:rPr>
                <w:rFonts w:hint="eastAsia" w:ascii="仿宋" w:hAnsi="仿宋" w:eastAsia="仿宋" w:cs="仿宋"/>
                <w:sz w:val="28"/>
                <w:szCs w:val="28"/>
                <w:bdr w:val="none" w:color="auto" w:sz="0" w:space="0"/>
              </w:rPr>
              <w:t>115</w:t>
            </w:r>
          </w:p>
        </w:tc>
        <w:tc>
          <w:tcPr>
            <w:tcW w:w="1560" w:type="dxa"/>
            <w:tcBorders>
              <w:top w:val="nil"/>
              <w:left w:val="nil"/>
              <w:bottom w:val="single" w:color="auto" w:sz="6" w:space="0"/>
              <w:right w:val="single" w:color="auto" w:sz="6" w:space="0"/>
            </w:tcBorders>
            <w:shd w:val="clear"/>
            <w:tcMar>
              <w:left w:w="105" w:type="dxa"/>
              <w:right w:w="105" w:type="dxa"/>
            </w:tcMar>
            <w:vAlign w:val="center"/>
          </w:tcPr>
          <w:p w14:paraId="638E072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jc w:val="center"/>
              <w:textAlignment w:val="center"/>
              <w:rPr>
                <w:sz w:val="27"/>
                <w:szCs w:val="27"/>
              </w:rPr>
            </w:pPr>
            <w:r>
              <w:rPr>
                <w:rFonts w:hint="eastAsia" w:ascii="仿宋" w:hAnsi="仿宋" w:eastAsia="仿宋" w:cs="仿宋"/>
                <w:sz w:val="28"/>
                <w:szCs w:val="28"/>
                <w:bdr w:val="none" w:color="auto" w:sz="0" w:space="0"/>
              </w:rPr>
              <w:t>2</w:t>
            </w:r>
          </w:p>
        </w:tc>
        <w:tc>
          <w:tcPr>
            <w:tcW w:w="1830" w:type="dxa"/>
            <w:tcBorders>
              <w:top w:val="nil"/>
              <w:left w:val="nil"/>
              <w:bottom w:val="single" w:color="auto" w:sz="6" w:space="0"/>
              <w:right w:val="single" w:color="auto" w:sz="6" w:space="0"/>
            </w:tcBorders>
            <w:shd w:val="clear"/>
            <w:tcMar>
              <w:left w:w="105" w:type="dxa"/>
              <w:right w:w="105" w:type="dxa"/>
            </w:tcMar>
            <w:vAlign w:val="center"/>
          </w:tcPr>
          <w:p w14:paraId="050EDA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jc w:val="center"/>
              <w:textAlignment w:val="center"/>
              <w:rPr>
                <w:sz w:val="27"/>
                <w:szCs w:val="27"/>
              </w:rPr>
            </w:pPr>
            <w:r>
              <w:rPr>
                <w:rFonts w:hint="eastAsia" w:ascii="仿宋" w:hAnsi="仿宋" w:eastAsia="仿宋" w:cs="仿宋"/>
                <w:sz w:val="28"/>
                <w:szCs w:val="28"/>
                <w:bdr w:val="none" w:color="auto" w:sz="0" w:space="0"/>
              </w:rPr>
              <w:t>3</w:t>
            </w:r>
          </w:p>
        </w:tc>
      </w:tr>
      <w:tr w14:paraId="21F91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blCellSpacing w:w="0" w:type="dxa"/>
        </w:trPr>
        <w:tc>
          <w:tcPr>
            <w:tcW w:w="304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1A5914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jc w:val="center"/>
              <w:textAlignment w:val="center"/>
              <w:rPr>
                <w:sz w:val="27"/>
                <w:szCs w:val="27"/>
              </w:rPr>
            </w:pPr>
            <w:r>
              <w:rPr>
                <w:rFonts w:hint="eastAsia" w:ascii="仿宋" w:hAnsi="仿宋" w:eastAsia="仿宋" w:cs="仿宋"/>
                <w:sz w:val="28"/>
                <w:szCs w:val="28"/>
                <w:bdr w:val="none" w:color="auto" w:sz="0" w:space="0"/>
              </w:rPr>
              <w:t>化学工程与工艺</w:t>
            </w:r>
          </w:p>
        </w:tc>
        <w:tc>
          <w:tcPr>
            <w:tcW w:w="2295" w:type="dxa"/>
            <w:tcBorders>
              <w:top w:val="nil"/>
              <w:left w:val="nil"/>
              <w:bottom w:val="single" w:color="auto" w:sz="6" w:space="0"/>
              <w:right w:val="single" w:color="auto" w:sz="6" w:space="0"/>
            </w:tcBorders>
            <w:shd w:val="clear"/>
            <w:tcMar>
              <w:left w:w="105" w:type="dxa"/>
              <w:right w:w="105" w:type="dxa"/>
            </w:tcMar>
            <w:vAlign w:val="center"/>
          </w:tcPr>
          <w:p w14:paraId="7381DD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jc w:val="center"/>
              <w:textAlignment w:val="center"/>
              <w:rPr>
                <w:sz w:val="27"/>
                <w:szCs w:val="27"/>
              </w:rPr>
            </w:pPr>
            <w:r>
              <w:rPr>
                <w:rFonts w:hint="eastAsia" w:ascii="仿宋" w:hAnsi="仿宋" w:eastAsia="仿宋" w:cs="仿宋"/>
                <w:sz w:val="28"/>
                <w:szCs w:val="28"/>
                <w:bdr w:val="none" w:color="auto" w:sz="0" w:space="0"/>
              </w:rPr>
              <w:t>117</w:t>
            </w:r>
          </w:p>
        </w:tc>
        <w:tc>
          <w:tcPr>
            <w:tcW w:w="1560" w:type="dxa"/>
            <w:tcBorders>
              <w:top w:val="nil"/>
              <w:left w:val="nil"/>
              <w:bottom w:val="single" w:color="auto" w:sz="6" w:space="0"/>
              <w:right w:val="single" w:color="auto" w:sz="6" w:space="0"/>
            </w:tcBorders>
            <w:shd w:val="clear"/>
            <w:tcMar>
              <w:left w:w="105" w:type="dxa"/>
              <w:right w:w="105" w:type="dxa"/>
            </w:tcMar>
            <w:vAlign w:val="center"/>
          </w:tcPr>
          <w:p w14:paraId="154D67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jc w:val="center"/>
              <w:textAlignment w:val="center"/>
              <w:rPr>
                <w:sz w:val="27"/>
                <w:szCs w:val="27"/>
              </w:rPr>
            </w:pPr>
            <w:r>
              <w:rPr>
                <w:rFonts w:hint="eastAsia" w:ascii="仿宋" w:hAnsi="仿宋" w:eastAsia="仿宋" w:cs="仿宋"/>
                <w:sz w:val="28"/>
                <w:szCs w:val="28"/>
                <w:bdr w:val="none" w:color="auto" w:sz="0" w:space="0"/>
              </w:rPr>
              <w:t>2</w:t>
            </w:r>
          </w:p>
        </w:tc>
        <w:tc>
          <w:tcPr>
            <w:tcW w:w="1830" w:type="dxa"/>
            <w:tcBorders>
              <w:top w:val="nil"/>
              <w:left w:val="nil"/>
              <w:bottom w:val="single" w:color="auto" w:sz="6" w:space="0"/>
              <w:right w:val="single" w:color="auto" w:sz="6" w:space="0"/>
            </w:tcBorders>
            <w:shd w:val="clear"/>
            <w:tcMar>
              <w:left w:w="105" w:type="dxa"/>
              <w:right w:w="105" w:type="dxa"/>
            </w:tcMar>
            <w:vAlign w:val="center"/>
          </w:tcPr>
          <w:p w14:paraId="13FA01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jc w:val="center"/>
              <w:textAlignment w:val="center"/>
              <w:rPr>
                <w:sz w:val="27"/>
                <w:szCs w:val="27"/>
              </w:rPr>
            </w:pPr>
            <w:r>
              <w:rPr>
                <w:rFonts w:hint="eastAsia" w:ascii="仿宋" w:hAnsi="仿宋" w:eastAsia="仿宋" w:cs="仿宋"/>
                <w:sz w:val="28"/>
                <w:szCs w:val="28"/>
                <w:bdr w:val="none" w:color="auto" w:sz="0" w:space="0"/>
              </w:rPr>
              <w:t>3</w:t>
            </w:r>
          </w:p>
        </w:tc>
      </w:tr>
      <w:tr w14:paraId="51D8B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0" w:hRule="atLeast"/>
          <w:tblCellSpacing w:w="0" w:type="dxa"/>
        </w:trPr>
        <w:tc>
          <w:tcPr>
            <w:tcW w:w="304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4576C78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jc w:val="center"/>
              <w:textAlignment w:val="center"/>
              <w:rPr>
                <w:sz w:val="27"/>
                <w:szCs w:val="27"/>
              </w:rPr>
            </w:pPr>
            <w:r>
              <w:rPr>
                <w:rFonts w:hint="eastAsia" w:ascii="仿宋" w:hAnsi="仿宋" w:eastAsia="仿宋" w:cs="仿宋"/>
                <w:sz w:val="28"/>
                <w:szCs w:val="28"/>
                <w:bdr w:val="none" w:color="auto" w:sz="0" w:space="0"/>
              </w:rPr>
              <w:t>合计</w:t>
            </w:r>
          </w:p>
        </w:tc>
        <w:tc>
          <w:tcPr>
            <w:tcW w:w="2295" w:type="dxa"/>
            <w:tcBorders>
              <w:top w:val="nil"/>
              <w:left w:val="nil"/>
              <w:bottom w:val="single" w:color="auto" w:sz="6" w:space="0"/>
              <w:right w:val="single" w:color="auto" w:sz="6" w:space="0"/>
            </w:tcBorders>
            <w:shd w:val="clear"/>
            <w:tcMar>
              <w:left w:w="105" w:type="dxa"/>
              <w:right w:w="105" w:type="dxa"/>
            </w:tcMar>
            <w:vAlign w:val="center"/>
          </w:tcPr>
          <w:p w14:paraId="70DFC4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jc w:val="center"/>
              <w:textAlignment w:val="center"/>
              <w:rPr>
                <w:sz w:val="27"/>
                <w:szCs w:val="27"/>
              </w:rPr>
            </w:pPr>
            <w:r>
              <w:rPr>
                <w:rFonts w:hint="eastAsia" w:ascii="仿宋" w:hAnsi="仿宋" w:eastAsia="仿宋" w:cs="仿宋"/>
                <w:sz w:val="28"/>
                <w:szCs w:val="28"/>
                <w:bdr w:val="none" w:color="auto" w:sz="0" w:space="0"/>
              </w:rPr>
              <w:t>474</w:t>
            </w:r>
          </w:p>
        </w:tc>
        <w:tc>
          <w:tcPr>
            <w:tcW w:w="1560" w:type="dxa"/>
            <w:tcBorders>
              <w:top w:val="nil"/>
              <w:left w:val="nil"/>
              <w:bottom w:val="single" w:color="auto" w:sz="6" w:space="0"/>
              <w:right w:val="single" w:color="auto" w:sz="6" w:space="0"/>
            </w:tcBorders>
            <w:shd w:val="clear"/>
            <w:tcMar>
              <w:left w:w="105" w:type="dxa"/>
              <w:right w:w="105" w:type="dxa"/>
            </w:tcMar>
            <w:vAlign w:val="center"/>
          </w:tcPr>
          <w:p w14:paraId="130015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jc w:val="center"/>
              <w:textAlignment w:val="center"/>
              <w:rPr>
                <w:sz w:val="27"/>
                <w:szCs w:val="27"/>
              </w:rPr>
            </w:pPr>
            <w:r>
              <w:rPr>
                <w:rFonts w:hint="eastAsia" w:ascii="仿宋" w:hAnsi="仿宋" w:eastAsia="仿宋" w:cs="仿宋"/>
                <w:sz w:val="28"/>
                <w:szCs w:val="28"/>
                <w:bdr w:val="none" w:color="auto" w:sz="0" w:space="0"/>
              </w:rPr>
              <w:t>9</w:t>
            </w:r>
          </w:p>
        </w:tc>
        <w:tc>
          <w:tcPr>
            <w:tcW w:w="1830" w:type="dxa"/>
            <w:tcBorders>
              <w:top w:val="nil"/>
              <w:left w:val="nil"/>
              <w:bottom w:val="single" w:color="auto" w:sz="6" w:space="0"/>
              <w:right w:val="single" w:color="auto" w:sz="6" w:space="0"/>
            </w:tcBorders>
            <w:shd w:val="clear"/>
            <w:tcMar>
              <w:left w:w="105" w:type="dxa"/>
              <w:right w:w="105" w:type="dxa"/>
            </w:tcMar>
            <w:vAlign w:val="center"/>
          </w:tcPr>
          <w:p w14:paraId="32AA1C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jc w:val="center"/>
              <w:textAlignment w:val="center"/>
              <w:rPr>
                <w:sz w:val="27"/>
                <w:szCs w:val="27"/>
              </w:rPr>
            </w:pPr>
            <w:r>
              <w:rPr>
                <w:rFonts w:hint="eastAsia" w:ascii="仿宋" w:hAnsi="仿宋" w:eastAsia="仿宋" w:cs="仿宋"/>
                <w:sz w:val="28"/>
                <w:szCs w:val="28"/>
                <w:bdr w:val="none" w:color="auto" w:sz="0" w:space="0"/>
              </w:rPr>
              <w:t>13</w:t>
            </w:r>
          </w:p>
        </w:tc>
      </w:tr>
    </w:tbl>
    <w:p w14:paraId="78C042A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35"/>
        <w:rPr>
          <w:sz w:val="27"/>
          <w:szCs w:val="27"/>
        </w:rPr>
      </w:pPr>
      <w:r>
        <w:rPr>
          <w:rStyle w:val="7"/>
          <w:rFonts w:hint="eastAsia" w:ascii="仿宋" w:hAnsi="仿宋" w:eastAsia="仿宋" w:cs="仿宋"/>
          <w:i w:val="0"/>
          <w:iCs w:val="0"/>
          <w:caps w:val="0"/>
          <w:color w:val="333333"/>
          <w:spacing w:val="0"/>
          <w:sz w:val="31"/>
          <w:szCs w:val="31"/>
          <w:bdr w:val="none" w:color="auto" w:sz="0" w:space="0"/>
          <w:shd w:val="clear" w:fill="FFFFFF"/>
        </w:rPr>
        <w:t>二、申请对象</w:t>
      </w:r>
    </w:p>
    <w:p w14:paraId="3C64332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35"/>
        <w:rPr>
          <w:sz w:val="27"/>
          <w:szCs w:val="27"/>
        </w:rPr>
      </w:pPr>
      <w:r>
        <w:rPr>
          <w:rFonts w:hint="eastAsia" w:ascii="仿宋" w:hAnsi="仿宋" w:eastAsia="仿宋" w:cs="仿宋"/>
          <w:i w:val="0"/>
          <w:iCs w:val="0"/>
          <w:caps w:val="0"/>
          <w:color w:val="333333"/>
          <w:spacing w:val="0"/>
          <w:sz w:val="31"/>
          <w:szCs w:val="31"/>
          <w:bdr w:val="none" w:color="auto" w:sz="0" w:space="0"/>
          <w:shd w:val="clear" w:fill="FFFFFF"/>
        </w:rPr>
        <w:t>医药化工学院2022级在校生</w:t>
      </w:r>
    </w:p>
    <w:p w14:paraId="4883883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35"/>
        <w:rPr>
          <w:sz w:val="27"/>
          <w:szCs w:val="27"/>
        </w:rPr>
      </w:pPr>
      <w:r>
        <w:rPr>
          <w:rStyle w:val="7"/>
          <w:rFonts w:hint="eastAsia" w:ascii="仿宋" w:hAnsi="仿宋" w:eastAsia="仿宋" w:cs="仿宋"/>
          <w:i w:val="0"/>
          <w:iCs w:val="0"/>
          <w:caps w:val="0"/>
          <w:color w:val="333333"/>
          <w:spacing w:val="0"/>
          <w:sz w:val="31"/>
          <w:szCs w:val="31"/>
          <w:bdr w:val="none" w:color="auto" w:sz="0" w:space="0"/>
          <w:shd w:val="clear" w:fill="FFFFFF"/>
        </w:rPr>
        <w:t>三、申请条件</w:t>
      </w:r>
    </w:p>
    <w:p w14:paraId="69C292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rPr>
          <w:sz w:val="27"/>
          <w:szCs w:val="27"/>
        </w:rPr>
      </w:pPr>
      <w:r>
        <w:rPr>
          <w:rStyle w:val="7"/>
          <w:rFonts w:hint="eastAsia" w:ascii="仿宋" w:hAnsi="仿宋" w:eastAsia="仿宋" w:cs="仿宋"/>
          <w:i w:val="0"/>
          <w:iCs w:val="0"/>
          <w:caps w:val="0"/>
          <w:color w:val="000000"/>
          <w:spacing w:val="0"/>
          <w:sz w:val="31"/>
          <w:szCs w:val="31"/>
          <w:bdr w:val="none" w:color="auto" w:sz="0" w:space="0"/>
          <w:shd w:val="clear" w:fill="FFFFFF"/>
        </w:rPr>
        <w:t>（一）思想品德</w:t>
      </w:r>
    </w:p>
    <w:p w14:paraId="3EAE6F3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rPr>
          <w:sz w:val="27"/>
          <w:szCs w:val="27"/>
        </w:rPr>
      </w:pPr>
      <w:r>
        <w:rPr>
          <w:rFonts w:hint="eastAsia" w:ascii="仿宋" w:hAnsi="仿宋" w:eastAsia="仿宋" w:cs="仿宋"/>
          <w:i w:val="0"/>
          <w:iCs w:val="0"/>
          <w:caps w:val="0"/>
          <w:color w:val="000000"/>
          <w:spacing w:val="0"/>
          <w:sz w:val="31"/>
          <w:szCs w:val="31"/>
          <w:bdr w:val="none" w:color="auto" w:sz="0" w:space="0"/>
          <w:shd w:val="clear" w:fill="FFFFFF"/>
        </w:rPr>
        <w:t>学院推免生遴选工作小组严格遵循实事求是的原则，根据《办法》第八条，注重对学生政治态度、思想表现、道德品质、科学精神、诚实守信、遵纪守法等方面的考查，思想品德考核不合格者不予推荐。</w:t>
      </w:r>
    </w:p>
    <w:p w14:paraId="3576259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rPr>
          <w:sz w:val="27"/>
          <w:szCs w:val="27"/>
        </w:rPr>
      </w:pPr>
      <w:r>
        <w:rPr>
          <w:rStyle w:val="7"/>
          <w:rFonts w:hint="eastAsia" w:ascii="仿宋" w:hAnsi="仿宋" w:eastAsia="仿宋" w:cs="仿宋"/>
          <w:i w:val="0"/>
          <w:iCs w:val="0"/>
          <w:caps w:val="0"/>
          <w:color w:val="000000"/>
          <w:spacing w:val="0"/>
          <w:sz w:val="31"/>
          <w:szCs w:val="31"/>
          <w:bdr w:val="none" w:color="auto" w:sz="0" w:space="0"/>
          <w:shd w:val="clear" w:fill="FFFFFF"/>
        </w:rPr>
        <w:t>（二）基本条件</w:t>
      </w:r>
    </w:p>
    <w:p w14:paraId="743B53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7"/>
          <w:szCs w:val="27"/>
        </w:rPr>
      </w:pPr>
      <w:r>
        <w:rPr>
          <w:rFonts w:hint="eastAsia" w:ascii="仿宋" w:hAnsi="仿宋" w:eastAsia="仿宋" w:cs="仿宋"/>
          <w:i w:val="0"/>
          <w:iCs w:val="0"/>
          <w:caps w:val="0"/>
          <w:color w:val="000000"/>
          <w:spacing w:val="0"/>
          <w:sz w:val="31"/>
          <w:szCs w:val="31"/>
          <w:bdr w:val="none" w:color="auto" w:sz="0" w:space="0"/>
          <w:shd w:val="clear" w:fill="FFFFFF"/>
        </w:rPr>
        <w:t>1.拥护中国共产党的领导，具有高尚的爱国主义情操和集体主义精神，社会主义信念坚定，社会责任感强，遵纪守法，积极向上，身心健康。</w:t>
      </w:r>
    </w:p>
    <w:p w14:paraId="50DA164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7"/>
          <w:szCs w:val="27"/>
        </w:rPr>
      </w:pPr>
      <w:r>
        <w:rPr>
          <w:rFonts w:hint="eastAsia" w:ascii="仿宋" w:hAnsi="仿宋" w:eastAsia="仿宋" w:cs="仿宋"/>
          <w:i w:val="0"/>
          <w:iCs w:val="0"/>
          <w:caps w:val="0"/>
          <w:color w:val="000000"/>
          <w:spacing w:val="0"/>
          <w:sz w:val="31"/>
          <w:szCs w:val="31"/>
          <w:bdr w:val="none" w:color="auto" w:sz="0" w:space="0"/>
          <w:shd w:val="clear" w:fill="FFFFFF"/>
        </w:rPr>
        <w:t>2.勤奋学习，刻苦钻研，成绩优秀。</w:t>
      </w:r>
      <w:r>
        <w:rPr>
          <w:rStyle w:val="7"/>
          <w:rFonts w:hint="eastAsia" w:ascii="仿宋" w:hAnsi="仿宋" w:eastAsia="仿宋" w:cs="仿宋"/>
          <w:i w:val="0"/>
          <w:iCs w:val="0"/>
          <w:caps w:val="0"/>
          <w:color w:val="000000"/>
          <w:spacing w:val="0"/>
          <w:sz w:val="31"/>
          <w:szCs w:val="31"/>
          <w:bdr w:val="none" w:color="auto" w:sz="0" w:space="0"/>
          <w:shd w:val="clear" w:fill="FFFFFF"/>
        </w:rPr>
        <w:t>学生从入学起至推免时止所修读的所有课程（不计辅修、微专业课程）须全部合格，无补考或重修课程记录</w:t>
      </w:r>
      <w:r>
        <w:rPr>
          <w:rFonts w:hint="eastAsia" w:ascii="仿宋" w:hAnsi="仿宋" w:eastAsia="仿宋" w:cs="仿宋"/>
          <w:i w:val="0"/>
          <w:iCs w:val="0"/>
          <w:caps w:val="0"/>
          <w:color w:val="000000"/>
          <w:spacing w:val="0"/>
          <w:sz w:val="31"/>
          <w:szCs w:val="31"/>
          <w:bdr w:val="none" w:color="auto" w:sz="0" w:space="0"/>
          <w:shd w:val="clear" w:fill="FFFFFF"/>
        </w:rPr>
        <w:t>，且平均学分绩点排名在本专业年级前30%（含30%）。</w:t>
      </w:r>
    </w:p>
    <w:p w14:paraId="5BC0019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7"/>
          <w:szCs w:val="27"/>
        </w:rPr>
      </w:pPr>
      <w:r>
        <w:rPr>
          <w:rFonts w:hint="eastAsia" w:ascii="仿宋" w:hAnsi="仿宋" w:eastAsia="仿宋" w:cs="仿宋"/>
          <w:i w:val="0"/>
          <w:iCs w:val="0"/>
          <w:caps w:val="0"/>
          <w:color w:val="000000"/>
          <w:spacing w:val="0"/>
          <w:sz w:val="31"/>
          <w:szCs w:val="31"/>
          <w:bdr w:val="none" w:color="auto" w:sz="0" w:space="0"/>
          <w:shd w:val="clear" w:fill="FFFFFF"/>
        </w:rPr>
        <w:t>3.具有较高的英语应用能力和水平。非英语专业学生，大学英语四级笔试成绩达到</w:t>
      </w:r>
      <w:r>
        <w:rPr>
          <w:rFonts w:ascii="Times New Roman" w:hAnsi="Times New Roman" w:eastAsia="微软雅黑" w:cs="Times New Roman"/>
          <w:i w:val="0"/>
          <w:iCs w:val="0"/>
          <w:caps w:val="0"/>
          <w:color w:val="000000"/>
          <w:spacing w:val="0"/>
          <w:sz w:val="31"/>
          <w:szCs w:val="31"/>
          <w:bdr w:val="none" w:color="auto" w:sz="0" w:space="0"/>
          <w:shd w:val="clear" w:fill="FFFFFF"/>
        </w:rPr>
        <w:t>480</w:t>
      </w:r>
      <w:r>
        <w:rPr>
          <w:rFonts w:hint="eastAsia" w:ascii="仿宋" w:hAnsi="仿宋" w:eastAsia="仿宋" w:cs="仿宋"/>
          <w:i w:val="0"/>
          <w:iCs w:val="0"/>
          <w:caps w:val="0"/>
          <w:color w:val="000000"/>
          <w:spacing w:val="0"/>
          <w:sz w:val="31"/>
          <w:szCs w:val="31"/>
          <w:bdr w:val="none" w:color="auto" w:sz="0" w:space="0"/>
          <w:shd w:val="clear" w:fill="FFFFFF"/>
        </w:rPr>
        <w:t>分（</w:t>
      </w:r>
      <w:r>
        <w:rPr>
          <w:rFonts w:hint="default" w:ascii="Times New Roman" w:hAnsi="Times New Roman" w:eastAsia="微软雅黑" w:cs="Times New Roman"/>
          <w:i w:val="0"/>
          <w:iCs w:val="0"/>
          <w:caps w:val="0"/>
          <w:color w:val="000000"/>
          <w:spacing w:val="0"/>
          <w:sz w:val="31"/>
          <w:szCs w:val="31"/>
          <w:bdr w:val="none" w:color="auto" w:sz="0" w:space="0"/>
          <w:shd w:val="clear" w:fill="FFFFFF"/>
        </w:rPr>
        <w:t>710</w:t>
      </w:r>
      <w:r>
        <w:rPr>
          <w:rFonts w:hint="eastAsia" w:ascii="仿宋" w:hAnsi="仿宋" w:eastAsia="仿宋" w:cs="仿宋"/>
          <w:i w:val="0"/>
          <w:iCs w:val="0"/>
          <w:caps w:val="0"/>
          <w:color w:val="000000"/>
          <w:spacing w:val="0"/>
          <w:sz w:val="31"/>
          <w:szCs w:val="31"/>
          <w:bdr w:val="none" w:color="auto" w:sz="0" w:space="0"/>
          <w:shd w:val="clear" w:fill="FFFFFF"/>
        </w:rPr>
        <w:t>分制）及以上或六级笔试成绩达到</w:t>
      </w:r>
      <w:r>
        <w:rPr>
          <w:rFonts w:hint="default" w:ascii="Times New Roman" w:hAnsi="Times New Roman" w:eastAsia="微软雅黑" w:cs="Times New Roman"/>
          <w:i w:val="0"/>
          <w:iCs w:val="0"/>
          <w:caps w:val="0"/>
          <w:color w:val="000000"/>
          <w:spacing w:val="0"/>
          <w:sz w:val="31"/>
          <w:szCs w:val="31"/>
          <w:bdr w:val="none" w:color="auto" w:sz="0" w:space="0"/>
          <w:shd w:val="clear" w:fill="FFFFFF"/>
        </w:rPr>
        <w:t>425</w:t>
      </w:r>
      <w:r>
        <w:rPr>
          <w:rFonts w:hint="eastAsia" w:ascii="仿宋" w:hAnsi="仿宋" w:eastAsia="仿宋" w:cs="仿宋"/>
          <w:i w:val="0"/>
          <w:iCs w:val="0"/>
          <w:caps w:val="0"/>
          <w:color w:val="000000"/>
          <w:spacing w:val="0"/>
          <w:sz w:val="31"/>
          <w:szCs w:val="31"/>
          <w:bdr w:val="none" w:color="auto" w:sz="0" w:space="0"/>
          <w:shd w:val="clear" w:fill="FFFFFF"/>
        </w:rPr>
        <w:t>分（</w:t>
      </w:r>
      <w:r>
        <w:rPr>
          <w:rFonts w:hint="default" w:ascii="Times New Roman" w:hAnsi="Times New Roman" w:eastAsia="微软雅黑" w:cs="Times New Roman"/>
          <w:i w:val="0"/>
          <w:iCs w:val="0"/>
          <w:caps w:val="0"/>
          <w:color w:val="000000"/>
          <w:spacing w:val="0"/>
          <w:sz w:val="31"/>
          <w:szCs w:val="31"/>
          <w:bdr w:val="none" w:color="auto" w:sz="0" w:space="0"/>
          <w:shd w:val="clear" w:fill="FFFFFF"/>
        </w:rPr>
        <w:t>710</w:t>
      </w:r>
      <w:r>
        <w:rPr>
          <w:rFonts w:hint="eastAsia" w:ascii="仿宋" w:hAnsi="仿宋" w:eastAsia="仿宋" w:cs="仿宋"/>
          <w:i w:val="0"/>
          <w:iCs w:val="0"/>
          <w:caps w:val="0"/>
          <w:color w:val="000000"/>
          <w:spacing w:val="0"/>
          <w:sz w:val="31"/>
          <w:szCs w:val="31"/>
          <w:bdr w:val="none" w:color="auto" w:sz="0" w:space="0"/>
          <w:shd w:val="clear" w:fill="FFFFFF"/>
        </w:rPr>
        <w:t>分制）及以上。托福成绩</w:t>
      </w:r>
      <w:r>
        <w:rPr>
          <w:rFonts w:hint="default" w:ascii="Times New Roman" w:hAnsi="Times New Roman" w:eastAsia="微软雅黑" w:cs="Times New Roman"/>
          <w:i w:val="0"/>
          <w:iCs w:val="0"/>
          <w:caps w:val="0"/>
          <w:color w:val="000000"/>
          <w:spacing w:val="0"/>
          <w:sz w:val="31"/>
          <w:szCs w:val="31"/>
          <w:bdr w:val="none" w:color="auto" w:sz="0" w:space="0"/>
          <w:shd w:val="clear" w:fill="FFFFFF"/>
        </w:rPr>
        <w:t>85</w:t>
      </w:r>
      <w:r>
        <w:rPr>
          <w:rFonts w:hint="eastAsia" w:ascii="仿宋" w:hAnsi="仿宋" w:eastAsia="仿宋" w:cs="仿宋"/>
          <w:i w:val="0"/>
          <w:iCs w:val="0"/>
          <w:caps w:val="0"/>
          <w:color w:val="000000"/>
          <w:spacing w:val="0"/>
          <w:sz w:val="31"/>
          <w:szCs w:val="31"/>
          <w:bdr w:val="none" w:color="auto" w:sz="0" w:space="0"/>
          <w:shd w:val="clear" w:fill="FFFFFF"/>
        </w:rPr>
        <w:t>分或雅思成绩</w:t>
      </w:r>
      <w:r>
        <w:rPr>
          <w:rFonts w:hint="default" w:ascii="Times New Roman" w:hAnsi="Times New Roman" w:eastAsia="微软雅黑" w:cs="Times New Roman"/>
          <w:i w:val="0"/>
          <w:iCs w:val="0"/>
          <w:caps w:val="0"/>
          <w:color w:val="000000"/>
          <w:spacing w:val="0"/>
          <w:sz w:val="31"/>
          <w:szCs w:val="31"/>
          <w:bdr w:val="none" w:color="auto" w:sz="0" w:space="0"/>
          <w:shd w:val="clear" w:fill="FFFFFF"/>
        </w:rPr>
        <w:t>6.5</w:t>
      </w:r>
      <w:r>
        <w:rPr>
          <w:rFonts w:hint="eastAsia" w:ascii="仿宋" w:hAnsi="仿宋" w:eastAsia="仿宋" w:cs="仿宋"/>
          <w:i w:val="0"/>
          <w:iCs w:val="0"/>
          <w:caps w:val="0"/>
          <w:color w:val="000000"/>
          <w:spacing w:val="0"/>
          <w:sz w:val="31"/>
          <w:szCs w:val="31"/>
          <w:bdr w:val="none" w:color="auto" w:sz="0" w:space="0"/>
          <w:shd w:val="clear" w:fill="FFFFFF"/>
        </w:rPr>
        <w:t>及以上，且在有效期内，可视同达到英语水平要求。</w:t>
      </w:r>
    </w:p>
    <w:p w14:paraId="6D4E7C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7"/>
          <w:szCs w:val="27"/>
        </w:rPr>
      </w:pPr>
      <w:r>
        <w:rPr>
          <w:rFonts w:hint="eastAsia" w:ascii="仿宋" w:hAnsi="仿宋" w:eastAsia="仿宋" w:cs="仿宋"/>
          <w:i w:val="0"/>
          <w:iCs w:val="0"/>
          <w:caps w:val="0"/>
          <w:color w:val="000000"/>
          <w:spacing w:val="0"/>
          <w:sz w:val="31"/>
          <w:szCs w:val="31"/>
          <w:bdr w:val="none" w:color="auto" w:sz="0" w:space="0"/>
          <w:shd w:val="clear" w:fill="FFFFFF"/>
        </w:rPr>
        <w:t>4.诚实守信，学风端正，无任何考试作弊和剽窃他人学术成果记录，品行表现优良，无任何违法违纪受处分记录。</w:t>
      </w:r>
    </w:p>
    <w:p w14:paraId="1E6326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7"/>
          <w:szCs w:val="27"/>
        </w:rPr>
      </w:pPr>
      <w:r>
        <w:rPr>
          <w:rFonts w:hint="eastAsia" w:ascii="仿宋" w:hAnsi="仿宋" w:eastAsia="仿宋" w:cs="仿宋"/>
          <w:i w:val="0"/>
          <w:iCs w:val="0"/>
          <w:caps w:val="0"/>
          <w:color w:val="000000"/>
          <w:spacing w:val="0"/>
          <w:sz w:val="31"/>
          <w:szCs w:val="31"/>
          <w:bdr w:val="none" w:color="auto" w:sz="0" w:space="0"/>
          <w:shd w:val="clear" w:fill="FFFFFF"/>
        </w:rPr>
        <w:t>5.身体健康状况符合规定的体检标准，国家体质健康标准测试合格（按规定免测除外）。</w:t>
      </w:r>
    </w:p>
    <w:p w14:paraId="4031B85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35"/>
        <w:rPr>
          <w:sz w:val="27"/>
          <w:szCs w:val="27"/>
        </w:rPr>
      </w:pPr>
      <w:r>
        <w:rPr>
          <w:rStyle w:val="7"/>
          <w:rFonts w:hint="eastAsia" w:ascii="仿宋" w:hAnsi="仿宋" w:eastAsia="仿宋" w:cs="仿宋"/>
          <w:i w:val="0"/>
          <w:iCs w:val="0"/>
          <w:caps w:val="0"/>
          <w:color w:val="333333"/>
          <w:spacing w:val="0"/>
          <w:sz w:val="31"/>
          <w:szCs w:val="31"/>
          <w:bdr w:val="none" w:color="auto" w:sz="0" w:space="0"/>
          <w:shd w:val="clear" w:fill="FFFFFF"/>
        </w:rPr>
        <w:t>三、综合评价计算细则</w:t>
      </w:r>
    </w:p>
    <w:p w14:paraId="3F3EE00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7"/>
          <w:szCs w:val="27"/>
        </w:rPr>
      </w:pPr>
      <w:r>
        <w:rPr>
          <w:rFonts w:hint="eastAsia" w:ascii="仿宋" w:hAnsi="仿宋" w:eastAsia="仿宋" w:cs="仿宋"/>
          <w:i w:val="0"/>
          <w:iCs w:val="0"/>
          <w:caps w:val="0"/>
          <w:color w:val="000000"/>
          <w:spacing w:val="0"/>
          <w:sz w:val="31"/>
          <w:szCs w:val="31"/>
          <w:bdr w:val="none" w:color="auto" w:sz="0" w:space="0"/>
          <w:shd w:val="clear" w:fill="FFFFFF"/>
        </w:rPr>
        <w:t>综合成绩由学业成绩、奖励加分两部分构成，学业成绩为在校期间所修课程</w:t>
      </w:r>
      <w:r>
        <w:rPr>
          <w:rStyle w:val="7"/>
          <w:rFonts w:hint="eastAsia" w:ascii="仿宋" w:hAnsi="仿宋" w:eastAsia="仿宋" w:cs="仿宋"/>
          <w:i w:val="0"/>
          <w:iCs w:val="0"/>
          <w:caps w:val="0"/>
          <w:color w:val="000000"/>
          <w:spacing w:val="0"/>
          <w:sz w:val="31"/>
          <w:szCs w:val="31"/>
          <w:bdr w:val="none" w:color="auto" w:sz="0" w:space="0"/>
          <w:shd w:val="clear" w:fill="FFFFFF"/>
        </w:rPr>
        <w:t>（不含公共选修课）</w:t>
      </w:r>
      <w:r>
        <w:rPr>
          <w:rFonts w:hint="eastAsia" w:ascii="仿宋" w:hAnsi="仿宋" w:eastAsia="仿宋" w:cs="仿宋"/>
          <w:i w:val="0"/>
          <w:iCs w:val="0"/>
          <w:caps w:val="0"/>
          <w:color w:val="000000"/>
          <w:spacing w:val="0"/>
          <w:sz w:val="31"/>
          <w:szCs w:val="31"/>
          <w:bdr w:val="none" w:color="auto" w:sz="0" w:space="0"/>
          <w:shd w:val="clear" w:fill="FFFFFF"/>
        </w:rPr>
        <w:t>平均学分绩点。奖励加分最高为10分。综合成绩计算公式如下：综合成绩=平均学分绩点折合百分制成绩（即平均学分绩点×10+50）+奖励加分。</w:t>
      </w:r>
    </w:p>
    <w:p w14:paraId="0EC72F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7"/>
          <w:szCs w:val="27"/>
        </w:rPr>
      </w:pPr>
      <w:r>
        <w:rPr>
          <w:rFonts w:hint="eastAsia" w:ascii="仿宋" w:hAnsi="仿宋" w:eastAsia="仿宋" w:cs="仿宋"/>
          <w:i w:val="0"/>
          <w:iCs w:val="0"/>
          <w:caps w:val="0"/>
          <w:color w:val="000000"/>
          <w:spacing w:val="0"/>
          <w:sz w:val="31"/>
          <w:szCs w:val="31"/>
          <w:bdr w:val="none" w:color="auto" w:sz="0" w:space="0"/>
          <w:shd w:val="clear" w:fill="FFFFFF"/>
        </w:rPr>
        <w:t>1.学业成绩为在校期间所修课程</w:t>
      </w:r>
      <w:r>
        <w:rPr>
          <w:rStyle w:val="7"/>
          <w:rFonts w:hint="eastAsia" w:ascii="仿宋" w:hAnsi="仿宋" w:eastAsia="仿宋" w:cs="仿宋"/>
          <w:i w:val="0"/>
          <w:iCs w:val="0"/>
          <w:caps w:val="0"/>
          <w:color w:val="000000"/>
          <w:spacing w:val="0"/>
          <w:sz w:val="31"/>
          <w:szCs w:val="31"/>
          <w:bdr w:val="none" w:color="auto" w:sz="0" w:space="0"/>
          <w:shd w:val="clear" w:fill="FFFFFF"/>
        </w:rPr>
        <w:t>（不含公共选修课）</w:t>
      </w:r>
      <w:r>
        <w:rPr>
          <w:rFonts w:hint="eastAsia" w:ascii="仿宋" w:hAnsi="仿宋" w:eastAsia="仿宋" w:cs="仿宋"/>
          <w:i w:val="0"/>
          <w:iCs w:val="0"/>
          <w:caps w:val="0"/>
          <w:color w:val="000000"/>
          <w:spacing w:val="0"/>
          <w:sz w:val="31"/>
          <w:szCs w:val="31"/>
          <w:bdr w:val="none" w:color="auto" w:sz="0" w:space="0"/>
          <w:shd w:val="clear" w:fill="FFFFFF"/>
        </w:rPr>
        <w:t>平均学分绩点。</w:t>
      </w:r>
    </w:p>
    <w:p w14:paraId="0834DE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7"/>
          <w:szCs w:val="27"/>
        </w:rPr>
      </w:pPr>
      <w:r>
        <w:rPr>
          <w:rFonts w:hint="eastAsia" w:ascii="仿宋" w:hAnsi="仿宋" w:eastAsia="仿宋" w:cs="仿宋"/>
          <w:i w:val="0"/>
          <w:iCs w:val="0"/>
          <w:caps w:val="0"/>
          <w:color w:val="000000"/>
          <w:spacing w:val="0"/>
          <w:sz w:val="31"/>
          <w:szCs w:val="31"/>
          <w:bdr w:val="none" w:color="auto" w:sz="0" w:space="0"/>
          <w:shd w:val="clear" w:fill="FFFFFF"/>
        </w:rPr>
        <w:t>2.奖励加分最高为10分，具体加分细则查看《医药化工学院推荐2026届优秀本科毕业生免试攻读硕士研究生工作实施细则》</w:t>
      </w:r>
      <w:r>
        <w:rPr>
          <w:rFonts w:hint="eastAsia" w:ascii="仿宋" w:hAnsi="仿宋" w:eastAsia="仿宋" w:cs="仿宋"/>
          <w:i w:val="0"/>
          <w:iCs w:val="0"/>
          <w:caps w:val="0"/>
          <w:color w:val="333333"/>
          <w:spacing w:val="0"/>
          <w:sz w:val="31"/>
          <w:szCs w:val="31"/>
          <w:bdr w:val="none" w:color="auto" w:sz="0" w:space="0"/>
          <w:shd w:val="clear" w:fill="FFFFFF"/>
        </w:rPr>
        <w:t>（附件2）</w:t>
      </w:r>
    </w:p>
    <w:p w14:paraId="7BD31FD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35"/>
        <w:rPr>
          <w:sz w:val="27"/>
          <w:szCs w:val="27"/>
        </w:rPr>
      </w:pPr>
      <w:r>
        <w:rPr>
          <w:rStyle w:val="7"/>
          <w:rFonts w:hint="eastAsia" w:ascii="仿宋" w:hAnsi="仿宋" w:eastAsia="仿宋" w:cs="仿宋"/>
          <w:i w:val="0"/>
          <w:iCs w:val="0"/>
          <w:caps w:val="0"/>
          <w:color w:val="333333"/>
          <w:spacing w:val="0"/>
          <w:sz w:val="31"/>
          <w:szCs w:val="31"/>
          <w:bdr w:val="none" w:color="auto" w:sz="0" w:space="0"/>
          <w:shd w:val="clear" w:fill="FFFFFF"/>
        </w:rPr>
        <w:t>四、推免生选拔工作流程</w:t>
      </w:r>
    </w:p>
    <w:p w14:paraId="28DF703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35"/>
        <w:rPr>
          <w:sz w:val="27"/>
          <w:szCs w:val="27"/>
        </w:rPr>
      </w:pPr>
      <w:r>
        <w:rPr>
          <w:rStyle w:val="7"/>
          <w:rFonts w:hint="eastAsia" w:ascii="仿宋" w:hAnsi="仿宋" w:eastAsia="仿宋" w:cs="仿宋"/>
          <w:i w:val="0"/>
          <w:iCs w:val="0"/>
          <w:caps w:val="0"/>
          <w:color w:val="333333"/>
          <w:spacing w:val="0"/>
          <w:sz w:val="31"/>
          <w:szCs w:val="31"/>
          <w:bdr w:val="none" w:color="auto" w:sz="0" w:space="0"/>
          <w:shd w:val="clear" w:fill="FFFFFF"/>
        </w:rPr>
        <w:t>1.申请时间</w:t>
      </w:r>
    </w:p>
    <w:p w14:paraId="2A15AB9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35"/>
        <w:rPr>
          <w:sz w:val="27"/>
          <w:szCs w:val="27"/>
        </w:rPr>
      </w:pPr>
      <w:r>
        <w:rPr>
          <w:rFonts w:hint="eastAsia" w:ascii="仿宋" w:hAnsi="仿宋" w:eastAsia="仿宋" w:cs="仿宋"/>
          <w:i w:val="0"/>
          <w:iCs w:val="0"/>
          <w:caps w:val="0"/>
          <w:color w:val="000000"/>
          <w:spacing w:val="0"/>
          <w:sz w:val="31"/>
          <w:szCs w:val="31"/>
          <w:bdr w:val="none" w:color="auto" w:sz="0" w:space="0"/>
          <w:shd w:val="clear" w:fill="FFFFFF"/>
        </w:rPr>
        <w:t>提交申请材料时间：8月29日（周五）中午12:00前</w:t>
      </w:r>
    </w:p>
    <w:p w14:paraId="22861FB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35"/>
        <w:rPr>
          <w:sz w:val="27"/>
          <w:szCs w:val="27"/>
        </w:rPr>
      </w:pPr>
      <w:r>
        <w:rPr>
          <w:rStyle w:val="7"/>
          <w:rFonts w:hint="eastAsia" w:ascii="仿宋" w:hAnsi="仿宋" w:eastAsia="仿宋" w:cs="仿宋"/>
          <w:i w:val="0"/>
          <w:iCs w:val="0"/>
          <w:caps w:val="0"/>
          <w:color w:val="333333"/>
          <w:spacing w:val="0"/>
          <w:sz w:val="31"/>
          <w:szCs w:val="31"/>
          <w:bdr w:val="none" w:color="auto" w:sz="0" w:space="0"/>
          <w:shd w:val="clear" w:fill="FFFFFF"/>
        </w:rPr>
        <w:t>2.提供材料</w:t>
      </w:r>
    </w:p>
    <w:p w14:paraId="3B4AD46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35"/>
        <w:rPr>
          <w:sz w:val="27"/>
          <w:szCs w:val="27"/>
        </w:rPr>
      </w:pPr>
      <w:r>
        <w:rPr>
          <w:rFonts w:hint="eastAsia" w:ascii="仿宋" w:hAnsi="仿宋" w:eastAsia="仿宋" w:cs="仿宋"/>
          <w:i w:val="0"/>
          <w:iCs w:val="0"/>
          <w:caps w:val="0"/>
          <w:color w:val="000000"/>
          <w:spacing w:val="0"/>
          <w:sz w:val="31"/>
          <w:szCs w:val="31"/>
          <w:bdr w:val="none" w:color="auto" w:sz="0" w:space="0"/>
          <w:shd w:val="clear" w:fill="FFFFFF"/>
        </w:rPr>
        <w:t>（1）《广东药科大学推荐免试攻读研究生资格申请表》（附件3）；</w:t>
      </w:r>
    </w:p>
    <w:p w14:paraId="56DCDF6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35"/>
        <w:rPr>
          <w:sz w:val="27"/>
          <w:szCs w:val="27"/>
        </w:rPr>
      </w:pPr>
      <w:r>
        <w:rPr>
          <w:rFonts w:hint="eastAsia" w:ascii="仿宋" w:hAnsi="仿宋" w:eastAsia="仿宋" w:cs="仿宋"/>
          <w:i w:val="0"/>
          <w:iCs w:val="0"/>
          <w:caps w:val="0"/>
          <w:color w:val="000000"/>
          <w:spacing w:val="0"/>
          <w:sz w:val="31"/>
          <w:szCs w:val="31"/>
          <w:bdr w:val="none" w:color="auto" w:sz="0" w:space="0"/>
          <w:shd w:val="clear" w:fill="FFFFFF"/>
        </w:rPr>
        <w:t>（2）成绩单；</w:t>
      </w:r>
    </w:p>
    <w:p w14:paraId="15F6EAB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35"/>
        <w:rPr>
          <w:sz w:val="27"/>
          <w:szCs w:val="27"/>
        </w:rPr>
      </w:pPr>
      <w:r>
        <w:rPr>
          <w:rFonts w:hint="eastAsia" w:ascii="仿宋" w:hAnsi="仿宋" w:eastAsia="仿宋" w:cs="仿宋"/>
          <w:i w:val="0"/>
          <w:iCs w:val="0"/>
          <w:caps w:val="0"/>
          <w:color w:val="000000"/>
          <w:spacing w:val="0"/>
          <w:sz w:val="31"/>
          <w:szCs w:val="31"/>
          <w:bdr w:val="none" w:color="auto" w:sz="0" w:space="0"/>
          <w:shd w:val="clear" w:fill="FFFFFF"/>
        </w:rPr>
        <w:t>（3）外语水平证明（大学英语四级、六级考试，托福、雅思等证书或成绩单）；</w:t>
      </w:r>
    </w:p>
    <w:p w14:paraId="5566D82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35"/>
        <w:rPr>
          <w:sz w:val="27"/>
          <w:szCs w:val="27"/>
        </w:rPr>
      </w:pPr>
      <w:r>
        <w:rPr>
          <w:rFonts w:hint="eastAsia" w:ascii="仿宋" w:hAnsi="仿宋" w:eastAsia="仿宋" w:cs="仿宋"/>
          <w:i w:val="0"/>
          <w:iCs w:val="0"/>
          <w:caps w:val="0"/>
          <w:color w:val="000000"/>
          <w:spacing w:val="0"/>
          <w:sz w:val="31"/>
          <w:szCs w:val="31"/>
          <w:bdr w:val="none" w:color="auto" w:sz="0" w:space="0"/>
          <w:shd w:val="clear" w:fill="FFFFFF"/>
        </w:rPr>
        <w:t>（4）正式发表的论文（含期刊封面、版权页、目录、正文，若被SCI或SSCI检索，需提供检索证明），竞赛获奖证书或官方文件扫描件，以及其他可以证明自己能力或成就的材料。</w:t>
      </w:r>
    </w:p>
    <w:p w14:paraId="0BED1C8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35"/>
        <w:rPr>
          <w:sz w:val="27"/>
          <w:szCs w:val="27"/>
        </w:rPr>
      </w:pPr>
      <w:r>
        <w:rPr>
          <w:rFonts w:hint="eastAsia" w:ascii="仿宋" w:hAnsi="仿宋" w:eastAsia="仿宋" w:cs="仿宋"/>
          <w:i w:val="0"/>
          <w:iCs w:val="0"/>
          <w:caps w:val="0"/>
          <w:color w:val="000000"/>
          <w:spacing w:val="0"/>
          <w:sz w:val="31"/>
          <w:szCs w:val="31"/>
          <w:bdr w:val="none" w:color="auto" w:sz="0" w:space="0"/>
          <w:shd w:val="clear" w:fill="FFFFFF"/>
        </w:rPr>
        <w:t>申请表及佐证材料电子版整理到一个Word文档中发至辅导员，命名格式如“专业－姓名”。（按照上述材料顺序排）</w:t>
      </w:r>
    </w:p>
    <w:p w14:paraId="07A9A22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35"/>
        <w:rPr>
          <w:sz w:val="27"/>
          <w:szCs w:val="27"/>
        </w:rPr>
      </w:pPr>
      <w:r>
        <w:rPr>
          <w:rStyle w:val="7"/>
          <w:rFonts w:hint="eastAsia" w:ascii="仿宋" w:hAnsi="仿宋" w:eastAsia="仿宋" w:cs="仿宋"/>
          <w:i w:val="0"/>
          <w:iCs w:val="0"/>
          <w:caps w:val="0"/>
          <w:color w:val="333333"/>
          <w:spacing w:val="0"/>
          <w:sz w:val="31"/>
          <w:szCs w:val="31"/>
          <w:bdr w:val="none" w:color="auto" w:sz="0" w:space="0"/>
          <w:shd w:val="clear" w:fill="FFFFFF"/>
        </w:rPr>
        <w:t>3.材料审核、答辩环节</w:t>
      </w:r>
    </w:p>
    <w:p w14:paraId="55241C3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35"/>
        <w:rPr>
          <w:sz w:val="27"/>
          <w:szCs w:val="27"/>
        </w:rPr>
      </w:pPr>
      <w:r>
        <w:rPr>
          <w:rFonts w:hint="eastAsia" w:ascii="仿宋" w:hAnsi="仿宋" w:eastAsia="仿宋" w:cs="仿宋"/>
          <w:i w:val="0"/>
          <w:iCs w:val="0"/>
          <w:caps w:val="0"/>
          <w:color w:val="000000"/>
          <w:spacing w:val="0"/>
          <w:sz w:val="31"/>
          <w:szCs w:val="31"/>
          <w:bdr w:val="none" w:color="auto" w:sz="0" w:space="0"/>
          <w:shd w:val="clear" w:fill="FFFFFF"/>
        </w:rPr>
        <w:t>9月2日前（具体时间后续通知），专家审核小组组织提交奖励加分材料的学生答辩，完成资格审查及相关证明材料核验。未提交这些形式成果的申请人无需答辩。</w:t>
      </w:r>
    </w:p>
    <w:p w14:paraId="6D64734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35"/>
        <w:rPr>
          <w:sz w:val="27"/>
          <w:szCs w:val="27"/>
        </w:rPr>
      </w:pPr>
      <w:r>
        <w:rPr>
          <w:rStyle w:val="7"/>
          <w:rFonts w:hint="eastAsia" w:ascii="仿宋" w:hAnsi="仿宋" w:eastAsia="仿宋" w:cs="仿宋"/>
          <w:i w:val="0"/>
          <w:iCs w:val="0"/>
          <w:caps w:val="0"/>
          <w:color w:val="333333"/>
          <w:spacing w:val="0"/>
          <w:sz w:val="31"/>
          <w:szCs w:val="31"/>
          <w:bdr w:val="none" w:color="auto" w:sz="0" w:space="0"/>
          <w:shd w:val="clear" w:fill="FFFFFF"/>
        </w:rPr>
        <w:t>4.院级公示</w:t>
      </w:r>
    </w:p>
    <w:p w14:paraId="50956A6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35"/>
        <w:rPr>
          <w:sz w:val="27"/>
          <w:szCs w:val="27"/>
        </w:rPr>
      </w:pPr>
      <w:r>
        <w:rPr>
          <w:rFonts w:hint="eastAsia" w:ascii="仿宋" w:hAnsi="仿宋" w:eastAsia="仿宋" w:cs="仿宋"/>
          <w:i w:val="0"/>
          <w:iCs w:val="0"/>
          <w:caps w:val="0"/>
          <w:color w:val="000000"/>
          <w:spacing w:val="0"/>
          <w:sz w:val="31"/>
          <w:szCs w:val="31"/>
          <w:bdr w:val="none" w:color="auto" w:sz="0" w:space="0"/>
          <w:shd w:val="clear" w:fill="FFFFFF"/>
        </w:rPr>
        <w:t>9月3日-5日，学院对综合评价结果和拟推荐结论公示3个工作日。</w:t>
      </w:r>
    </w:p>
    <w:p w14:paraId="0E6D72C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35"/>
        <w:rPr>
          <w:sz w:val="27"/>
          <w:szCs w:val="27"/>
        </w:rPr>
      </w:pPr>
      <w:r>
        <w:rPr>
          <w:rStyle w:val="7"/>
          <w:rFonts w:hint="eastAsia" w:ascii="仿宋" w:hAnsi="仿宋" w:eastAsia="仿宋" w:cs="仿宋"/>
          <w:i w:val="0"/>
          <w:iCs w:val="0"/>
          <w:caps w:val="0"/>
          <w:color w:val="333333"/>
          <w:spacing w:val="0"/>
          <w:sz w:val="31"/>
          <w:szCs w:val="31"/>
          <w:bdr w:val="none" w:color="auto" w:sz="0" w:space="0"/>
          <w:shd w:val="clear" w:fill="FFFFFF"/>
        </w:rPr>
        <w:t>5.材料提交</w:t>
      </w:r>
    </w:p>
    <w:p w14:paraId="4D01CA8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35"/>
        <w:rPr>
          <w:sz w:val="27"/>
          <w:szCs w:val="27"/>
        </w:rPr>
      </w:pPr>
      <w:r>
        <w:rPr>
          <w:rFonts w:hint="eastAsia" w:ascii="仿宋" w:hAnsi="仿宋" w:eastAsia="仿宋" w:cs="仿宋"/>
          <w:i w:val="0"/>
          <w:iCs w:val="0"/>
          <w:caps w:val="0"/>
          <w:color w:val="000000"/>
          <w:spacing w:val="0"/>
          <w:sz w:val="31"/>
          <w:szCs w:val="31"/>
          <w:bdr w:val="none" w:color="auto" w:sz="0" w:space="0"/>
          <w:shd w:val="clear" w:fill="FFFFFF"/>
        </w:rPr>
        <w:t>9月6日，学院按要求将相关材料归类汇总并报送教务部复核。</w:t>
      </w:r>
    </w:p>
    <w:p w14:paraId="6CFBD67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35"/>
        <w:rPr>
          <w:sz w:val="27"/>
          <w:szCs w:val="27"/>
        </w:rPr>
      </w:pPr>
      <w:r>
        <w:rPr>
          <w:rFonts w:hint="eastAsia" w:ascii="仿宋" w:hAnsi="仿宋" w:eastAsia="仿宋" w:cs="仿宋"/>
          <w:i w:val="0"/>
          <w:iCs w:val="0"/>
          <w:caps w:val="0"/>
          <w:color w:val="000000"/>
          <w:spacing w:val="0"/>
          <w:sz w:val="31"/>
          <w:szCs w:val="31"/>
          <w:bdr w:val="none" w:color="auto" w:sz="0" w:space="0"/>
          <w:shd w:val="clear" w:fill="FFFFFF"/>
        </w:rPr>
        <w:t>因学校整体工作安排有变动导致以上各时间节点需作调整的，以实际通知为准。</w:t>
      </w:r>
    </w:p>
    <w:p w14:paraId="08859EE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35"/>
        <w:rPr>
          <w:sz w:val="27"/>
          <w:szCs w:val="27"/>
        </w:rPr>
      </w:pPr>
    </w:p>
    <w:p w14:paraId="141C9BB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35"/>
        <w:rPr>
          <w:sz w:val="27"/>
          <w:szCs w:val="27"/>
        </w:rPr>
      </w:pPr>
      <w:r>
        <w:rPr>
          <w:rFonts w:hint="eastAsia" w:ascii="仿宋" w:hAnsi="仿宋" w:eastAsia="仿宋" w:cs="仿宋"/>
          <w:i w:val="0"/>
          <w:iCs w:val="0"/>
          <w:caps w:val="0"/>
          <w:color w:val="000000"/>
          <w:spacing w:val="0"/>
          <w:sz w:val="30"/>
          <w:szCs w:val="30"/>
          <w:bdr w:val="none" w:color="auto" w:sz="0" w:space="0"/>
          <w:shd w:val="clear" w:fill="FFFFFF"/>
        </w:rPr>
        <w:t>联系人：周老师</w:t>
      </w:r>
    </w:p>
    <w:p w14:paraId="4FAA898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35"/>
        <w:rPr>
          <w:sz w:val="27"/>
          <w:szCs w:val="27"/>
        </w:rPr>
      </w:pPr>
      <w:r>
        <w:rPr>
          <w:rFonts w:hint="eastAsia" w:ascii="仿宋" w:hAnsi="仿宋" w:eastAsia="仿宋" w:cs="仿宋"/>
          <w:i w:val="0"/>
          <w:iCs w:val="0"/>
          <w:caps w:val="0"/>
          <w:color w:val="000000"/>
          <w:spacing w:val="0"/>
          <w:sz w:val="30"/>
          <w:szCs w:val="30"/>
          <w:bdr w:val="none" w:color="auto" w:sz="0" w:space="0"/>
          <w:shd w:val="clear" w:fill="FFFFFF"/>
        </w:rPr>
        <w:t>联系电话：0760-88207937</w:t>
      </w:r>
    </w:p>
    <w:p w14:paraId="5460120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35"/>
        <w:rPr>
          <w:sz w:val="27"/>
          <w:szCs w:val="27"/>
        </w:rPr>
      </w:pPr>
      <w:r>
        <w:rPr>
          <w:rFonts w:hint="eastAsia" w:ascii="仿宋" w:hAnsi="仿宋" w:eastAsia="仿宋" w:cs="仿宋"/>
          <w:i w:val="0"/>
          <w:iCs w:val="0"/>
          <w:caps w:val="0"/>
          <w:color w:val="000000"/>
          <w:spacing w:val="0"/>
          <w:sz w:val="30"/>
          <w:szCs w:val="30"/>
          <w:bdr w:val="none" w:color="auto" w:sz="0" w:space="0"/>
          <w:shd w:val="clear" w:fill="FFFFFF"/>
        </w:rPr>
        <w:t>联系邮箱：</w: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instrText xml:space="preserve"> HYPERLINK "mailto:zhoulexia@gdpu.edu.cn" </w:instrTex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separate"/>
      </w:r>
      <w:r>
        <w:rPr>
          <w:rStyle w:val="9"/>
          <w:rFonts w:hint="eastAsia" w:ascii="仿宋" w:hAnsi="仿宋" w:eastAsia="仿宋" w:cs="仿宋"/>
          <w:i w:val="0"/>
          <w:iCs w:val="0"/>
          <w:caps w:val="0"/>
          <w:color w:val="000000"/>
          <w:spacing w:val="0"/>
          <w:sz w:val="30"/>
          <w:szCs w:val="30"/>
          <w:u w:val="none"/>
          <w:bdr w:val="none" w:color="auto" w:sz="0" w:space="0"/>
          <w:shd w:val="clear" w:fill="FFFFFF"/>
        </w:rPr>
        <w:t>zhoulexia@gdpu.edu.cn</w: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end"/>
      </w:r>
    </w:p>
    <w:p w14:paraId="44FFDE9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35"/>
        <w:rPr>
          <w:sz w:val="27"/>
          <w:szCs w:val="27"/>
        </w:rPr>
      </w:pPr>
      <w:r>
        <w:rPr>
          <w:rFonts w:hint="eastAsia" w:ascii="仿宋" w:hAnsi="仿宋" w:eastAsia="仿宋" w:cs="仿宋"/>
          <w:i w:val="0"/>
          <w:iCs w:val="0"/>
          <w:caps w:val="0"/>
          <w:color w:val="000000"/>
          <w:spacing w:val="0"/>
          <w:sz w:val="30"/>
          <w:szCs w:val="30"/>
          <w:bdr w:val="none" w:color="auto" w:sz="0" w:space="0"/>
          <w:shd w:val="clear" w:fill="FFFFFF"/>
        </w:rPr>
        <w:t>联系地址：广东药科大学中山校区图书馆办公楼502医药化工学院办公室</w:t>
      </w:r>
    </w:p>
    <w:p w14:paraId="12730E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instrText xml:space="preserve"> HYPERLINK "https://yyhg.gdpu.edu.cn/info/1169/3033.htm" </w:instrTex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separate"/>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end"/>
      </w:r>
    </w:p>
    <w:p w14:paraId="26B67E2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right"/>
        <w:rPr>
          <w:sz w:val="27"/>
          <w:szCs w:val="27"/>
        </w:rPr>
      </w:pPr>
      <w:r>
        <w:rPr>
          <w:rFonts w:hint="eastAsia" w:ascii="仿宋" w:hAnsi="仿宋" w:eastAsia="仿宋" w:cs="仿宋"/>
          <w:i w:val="0"/>
          <w:iCs w:val="0"/>
          <w:caps w:val="0"/>
          <w:color w:val="000000"/>
          <w:spacing w:val="0"/>
          <w:sz w:val="31"/>
          <w:szCs w:val="31"/>
          <w:bdr w:val="none" w:color="auto" w:sz="0" w:space="0"/>
          <w:shd w:val="clear" w:fill="FFFFFF"/>
        </w:rPr>
        <w:t>医药化工学院</w:t>
      </w:r>
      <w:r>
        <w:rPr>
          <w:rFonts w:hint="eastAsia" w:ascii="仿宋" w:hAnsi="仿宋" w:eastAsia="仿宋" w:cs="仿宋"/>
          <w:i w:val="0"/>
          <w:iCs w:val="0"/>
          <w:caps w:val="0"/>
          <w:color w:val="000000"/>
          <w:spacing w:val="0"/>
          <w:sz w:val="31"/>
          <w:szCs w:val="31"/>
          <w:bdr w:val="none" w:color="auto" w:sz="0" w:space="0"/>
          <w:shd w:val="clear" w:fill="FFFFFF"/>
        </w:rPr>
        <w:br w:type="textWrapping"/>
      </w:r>
      <w:r>
        <w:rPr>
          <w:rFonts w:hint="default" w:ascii="Times New Roman" w:hAnsi="Times New Roman" w:eastAsia="仿宋" w:cs="Times New Roman"/>
          <w:i w:val="0"/>
          <w:iCs w:val="0"/>
          <w:caps w:val="0"/>
          <w:color w:val="000000"/>
          <w:spacing w:val="0"/>
          <w:sz w:val="31"/>
          <w:szCs w:val="31"/>
          <w:bdr w:val="none" w:color="auto" w:sz="0" w:space="0"/>
          <w:shd w:val="clear" w:fill="FFFFFF"/>
        </w:rPr>
        <w:t>2025</w:t>
      </w:r>
      <w:r>
        <w:rPr>
          <w:rFonts w:hint="eastAsia" w:ascii="仿宋" w:hAnsi="仿宋" w:eastAsia="仿宋" w:cs="仿宋"/>
          <w:i w:val="0"/>
          <w:iCs w:val="0"/>
          <w:caps w:val="0"/>
          <w:color w:val="000000"/>
          <w:spacing w:val="0"/>
          <w:sz w:val="31"/>
          <w:szCs w:val="31"/>
          <w:bdr w:val="none" w:color="auto" w:sz="0" w:space="0"/>
          <w:shd w:val="clear" w:fill="FFFFFF"/>
        </w:rPr>
        <w:t>年</w:t>
      </w:r>
      <w:r>
        <w:rPr>
          <w:rFonts w:hint="default" w:ascii="Times New Roman" w:hAnsi="Times New Roman" w:eastAsia="仿宋" w:cs="Times New Roman"/>
          <w:i w:val="0"/>
          <w:iCs w:val="0"/>
          <w:caps w:val="0"/>
          <w:color w:val="000000"/>
          <w:spacing w:val="0"/>
          <w:sz w:val="31"/>
          <w:szCs w:val="31"/>
          <w:bdr w:val="none" w:color="auto" w:sz="0" w:space="0"/>
          <w:shd w:val="clear" w:fill="FFFFFF"/>
        </w:rPr>
        <w:t>8</w:t>
      </w:r>
      <w:r>
        <w:rPr>
          <w:rFonts w:hint="eastAsia" w:ascii="仿宋" w:hAnsi="仿宋" w:eastAsia="仿宋" w:cs="仿宋"/>
          <w:i w:val="0"/>
          <w:iCs w:val="0"/>
          <w:caps w:val="0"/>
          <w:color w:val="000000"/>
          <w:spacing w:val="0"/>
          <w:sz w:val="31"/>
          <w:szCs w:val="31"/>
          <w:bdr w:val="none" w:color="auto" w:sz="0" w:space="0"/>
          <w:shd w:val="clear" w:fill="FFFFFF"/>
        </w:rPr>
        <w:t>月</w:t>
      </w:r>
      <w:r>
        <w:rPr>
          <w:rFonts w:hint="default" w:ascii="Times New Roman" w:hAnsi="Times New Roman" w:eastAsia="仿宋" w:cs="Times New Roman"/>
          <w:i w:val="0"/>
          <w:iCs w:val="0"/>
          <w:caps w:val="0"/>
          <w:color w:val="000000"/>
          <w:spacing w:val="0"/>
          <w:sz w:val="31"/>
          <w:szCs w:val="31"/>
          <w:bdr w:val="none" w:color="auto" w:sz="0" w:space="0"/>
          <w:shd w:val="clear" w:fill="FFFFFF"/>
        </w:rPr>
        <w:t>25</w:t>
      </w:r>
      <w:r>
        <w:rPr>
          <w:rFonts w:hint="eastAsia" w:ascii="仿宋" w:hAnsi="仿宋" w:eastAsia="仿宋" w:cs="仿宋"/>
          <w:i w:val="0"/>
          <w:iCs w:val="0"/>
          <w:caps w:val="0"/>
          <w:color w:val="000000"/>
          <w:spacing w:val="0"/>
          <w:sz w:val="31"/>
          <w:szCs w:val="31"/>
          <w:bdr w:val="none" w:color="auto" w:sz="0" w:space="0"/>
          <w:shd w:val="clear" w:fill="FFFFFF"/>
        </w:rPr>
        <w:t>日</w:t>
      </w:r>
    </w:p>
    <w:p w14:paraId="59B356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690" w:right="0" w:firstLine="450"/>
        <w:rPr>
          <w:sz w:val="27"/>
          <w:szCs w:val="27"/>
        </w:rPr>
      </w:pPr>
      <w:r>
        <w:rPr>
          <w:rStyle w:val="7"/>
          <w:rFonts w:hint="eastAsia" w:ascii="仿宋" w:hAnsi="仿宋" w:eastAsia="仿宋" w:cs="仿宋"/>
          <w:i w:val="0"/>
          <w:iCs w:val="0"/>
          <w:caps w:val="0"/>
          <w:color w:val="000000"/>
          <w:spacing w:val="-15"/>
          <w:sz w:val="31"/>
          <w:szCs w:val="31"/>
          <w:bdr w:val="none" w:color="auto" w:sz="0" w:space="0"/>
          <w:shd w:val="clear" w:fill="FFFFFF"/>
        </w:rPr>
        <w:t>附件：</w:t>
      </w:r>
    </w:p>
    <w:p w14:paraId="4C3791A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435"/>
        <w:rPr>
          <w:sz w:val="27"/>
          <w:szCs w:val="27"/>
        </w:rPr>
      </w:pPr>
      <w:r>
        <w:rPr>
          <w:rFonts w:hint="eastAsia" w:ascii="仿宋" w:hAnsi="仿宋" w:eastAsia="仿宋" w:cs="仿宋"/>
          <w:i w:val="0"/>
          <w:iCs w:val="0"/>
          <w:caps w:val="0"/>
          <w:color w:val="333333"/>
          <w:spacing w:val="0"/>
          <w:sz w:val="31"/>
          <w:szCs w:val="31"/>
          <w:bdr w:val="none" w:color="auto" w:sz="0" w:space="0"/>
          <w:shd w:val="clear" w:fill="FFFFFF"/>
        </w:rPr>
        <w:t>1. 关于印发《广东药科大学推荐优秀应届本科毕业生免试攻读硕士学位研究生工作管理办法（试行）》的通知</w:t>
      </w:r>
    </w:p>
    <w:p w14:paraId="3DCCF74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435"/>
        <w:rPr>
          <w:sz w:val="27"/>
          <w:szCs w:val="27"/>
        </w:rPr>
      </w:pPr>
      <w:r>
        <w:rPr>
          <w:rFonts w:hint="eastAsia" w:ascii="仿宋" w:hAnsi="仿宋" w:eastAsia="仿宋" w:cs="仿宋"/>
          <w:i w:val="0"/>
          <w:iCs w:val="0"/>
          <w:caps w:val="0"/>
          <w:color w:val="333333"/>
          <w:spacing w:val="0"/>
          <w:sz w:val="31"/>
          <w:szCs w:val="31"/>
          <w:bdr w:val="none" w:color="auto" w:sz="0" w:space="0"/>
          <w:shd w:val="clear" w:fill="FFFFFF"/>
        </w:rPr>
        <w:t>2. 医药化工学院:推荐 2026 届优秀本科毕业生免试攻读硕士研究生工作实施细则</w:t>
      </w:r>
    </w:p>
    <w:p w14:paraId="455670B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435"/>
        <w:rPr>
          <w:sz w:val="27"/>
          <w:szCs w:val="27"/>
        </w:rPr>
      </w:pPr>
      <w:r>
        <w:rPr>
          <w:rFonts w:hint="eastAsia" w:ascii="仿宋" w:hAnsi="仿宋" w:eastAsia="仿宋" w:cs="仿宋"/>
          <w:i w:val="0"/>
          <w:iCs w:val="0"/>
          <w:caps w:val="0"/>
          <w:color w:val="333333"/>
          <w:spacing w:val="0"/>
          <w:sz w:val="31"/>
          <w:szCs w:val="31"/>
          <w:bdr w:val="none" w:color="auto" w:sz="0" w:space="0"/>
          <w:shd w:val="clear" w:fill="FFFFFF"/>
        </w:rPr>
        <w:t>3. 广东药科大学推荐免试攻读研究生资格申请表</w:t>
      </w:r>
    </w:p>
    <w:p w14:paraId="1C99A7B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DA4A0A"/>
    <w:rsid w:val="00B26BB1"/>
    <w:rsid w:val="00BB6050"/>
    <w:rsid w:val="00D25994"/>
    <w:rsid w:val="01785440"/>
    <w:rsid w:val="017E0B07"/>
    <w:rsid w:val="01EE2BD1"/>
    <w:rsid w:val="02987740"/>
    <w:rsid w:val="034E70E6"/>
    <w:rsid w:val="05DE11B6"/>
    <w:rsid w:val="060721E3"/>
    <w:rsid w:val="06360B0E"/>
    <w:rsid w:val="073E499C"/>
    <w:rsid w:val="07727A23"/>
    <w:rsid w:val="0AC679E9"/>
    <w:rsid w:val="0B80578D"/>
    <w:rsid w:val="0BC31D79"/>
    <w:rsid w:val="0D6D5C6B"/>
    <w:rsid w:val="0DDA4A0A"/>
    <w:rsid w:val="0FA536C2"/>
    <w:rsid w:val="11EA69D9"/>
    <w:rsid w:val="11F1049F"/>
    <w:rsid w:val="14AF2C58"/>
    <w:rsid w:val="156D4217"/>
    <w:rsid w:val="186758E2"/>
    <w:rsid w:val="18F9259A"/>
    <w:rsid w:val="19655697"/>
    <w:rsid w:val="197E0E3D"/>
    <w:rsid w:val="198F1879"/>
    <w:rsid w:val="1B144ADC"/>
    <w:rsid w:val="1C236C3E"/>
    <w:rsid w:val="1CA550CD"/>
    <w:rsid w:val="1D8B1ECB"/>
    <w:rsid w:val="1DF3368A"/>
    <w:rsid w:val="1E6D33C6"/>
    <w:rsid w:val="1FE5125D"/>
    <w:rsid w:val="239F64FE"/>
    <w:rsid w:val="24785B13"/>
    <w:rsid w:val="25A01E64"/>
    <w:rsid w:val="25EB3446"/>
    <w:rsid w:val="27505FA0"/>
    <w:rsid w:val="28B44E58"/>
    <w:rsid w:val="292E3658"/>
    <w:rsid w:val="297167AD"/>
    <w:rsid w:val="297C4387"/>
    <w:rsid w:val="29D85487"/>
    <w:rsid w:val="2AE57DE8"/>
    <w:rsid w:val="2B172C77"/>
    <w:rsid w:val="2BA41FDE"/>
    <w:rsid w:val="2C1222AE"/>
    <w:rsid w:val="2CEB1DFE"/>
    <w:rsid w:val="2D31727E"/>
    <w:rsid w:val="2D5958F6"/>
    <w:rsid w:val="2E86044A"/>
    <w:rsid w:val="2EC21951"/>
    <w:rsid w:val="30526854"/>
    <w:rsid w:val="30B1129A"/>
    <w:rsid w:val="33537941"/>
    <w:rsid w:val="33724293"/>
    <w:rsid w:val="34C5586E"/>
    <w:rsid w:val="375532B6"/>
    <w:rsid w:val="38337319"/>
    <w:rsid w:val="388166EA"/>
    <w:rsid w:val="38993174"/>
    <w:rsid w:val="393533EC"/>
    <w:rsid w:val="39B277AD"/>
    <w:rsid w:val="3B125121"/>
    <w:rsid w:val="3B245E0A"/>
    <w:rsid w:val="3FB84DD6"/>
    <w:rsid w:val="40C96743"/>
    <w:rsid w:val="4207365C"/>
    <w:rsid w:val="42642588"/>
    <w:rsid w:val="46F176DB"/>
    <w:rsid w:val="47554735"/>
    <w:rsid w:val="491D7A0C"/>
    <w:rsid w:val="4A4F75C6"/>
    <w:rsid w:val="4BDF2B9F"/>
    <w:rsid w:val="4CBF2885"/>
    <w:rsid w:val="4D937316"/>
    <w:rsid w:val="4DDD1917"/>
    <w:rsid w:val="4E0A7B26"/>
    <w:rsid w:val="4E406AD0"/>
    <w:rsid w:val="4E6F51FA"/>
    <w:rsid w:val="4ED922A8"/>
    <w:rsid w:val="4FAB0E9D"/>
    <w:rsid w:val="501222E0"/>
    <w:rsid w:val="502156C0"/>
    <w:rsid w:val="5054476F"/>
    <w:rsid w:val="52AE5925"/>
    <w:rsid w:val="52B03D9A"/>
    <w:rsid w:val="543F1784"/>
    <w:rsid w:val="57CE6FC8"/>
    <w:rsid w:val="58D3775D"/>
    <w:rsid w:val="5A6E295F"/>
    <w:rsid w:val="5B0F614B"/>
    <w:rsid w:val="5B4F5AE5"/>
    <w:rsid w:val="5BC738B1"/>
    <w:rsid w:val="5F105DEB"/>
    <w:rsid w:val="5F171E78"/>
    <w:rsid w:val="6382525E"/>
    <w:rsid w:val="638C0289"/>
    <w:rsid w:val="64C87C38"/>
    <w:rsid w:val="6655163E"/>
    <w:rsid w:val="66825BA3"/>
    <w:rsid w:val="68B9617C"/>
    <w:rsid w:val="6B745D3F"/>
    <w:rsid w:val="6C8D37B3"/>
    <w:rsid w:val="6DB7071D"/>
    <w:rsid w:val="6F361728"/>
    <w:rsid w:val="76876D22"/>
    <w:rsid w:val="784B51D3"/>
    <w:rsid w:val="797A05F4"/>
    <w:rsid w:val="7A6E7713"/>
    <w:rsid w:val="7BCE7347"/>
    <w:rsid w:val="7D5B422F"/>
    <w:rsid w:val="7FB67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2026-07-20T06:37:00Z</dcterms:created>
  <dc:creator>ifnevers</dc:creator>
  <cp:lastModifiedBy>ifnevers</cp:lastModifiedBy>
  <dcterms:modified xsi:type="dcterms:W3CDTF">2026-07-20T06:38:23Z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03AB7AE14C8D49BB8869C8BDF62E3E0D_11</vt:lpwstr>
  </property>
  <property fmtid="{D5CDD505-2E9C-101B-9397-08002B2CF9AE}" pid="4" name="KSOTemplateDocerSaveRecord">
    <vt:lpwstr>eyJoZGlkIjoiMGI5ZDAyNTEwNmNhNmMyODJlOGE2ODgzZTAyYjYzMjciLCJ1c2VySWQiOiIzNzI2MDc0NTgifQ==</vt:lpwstr>
  </property>
</Properties>
</file>