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07B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right="0" w:firstLine="0"/>
        <w:jc w:val="center"/>
        <w:textAlignment w:val="auto"/>
        <w:rPr>
          <w:rFonts w:hint="eastAsia" w:ascii="微软雅黑" w:hAnsi="微软雅黑" w:eastAsia="微软雅黑" w:cs="微软雅黑"/>
          <w:i w:val="0"/>
          <w:iCs w:val="0"/>
          <w:caps w:val="0"/>
          <w:color w:val="222222"/>
          <w:spacing w:val="0"/>
          <w:sz w:val="21"/>
          <w:szCs w:val="21"/>
          <w:u w:val="none"/>
        </w:rPr>
      </w:pPr>
      <w:r>
        <w:rPr>
          <w:rFonts w:hint="eastAsia" w:ascii="微软雅黑" w:hAnsi="微软雅黑" w:eastAsia="微软雅黑" w:cs="微软雅黑"/>
          <w:i w:val="0"/>
          <w:iCs w:val="0"/>
          <w:caps w:val="0"/>
          <w:color w:val="222222"/>
          <w:spacing w:val="0"/>
          <w:kern w:val="0"/>
          <w:sz w:val="21"/>
          <w:szCs w:val="21"/>
          <w:u w:val="none"/>
          <w:bdr w:val="none" w:color="auto" w:sz="0" w:space="0"/>
          <w:lang w:val="en-US" w:eastAsia="zh-CN" w:bidi="ar"/>
        </w:rPr>
        <w:t>机械制造工艺研究所2026年推免招生复试实施细则</w:t>
      </w:r>
    </w:p>
    <w:p w14:paraId="521246A7">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righ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发布时间：2025/09/12</w:t>
      </w:r>
    </w:p>
    <w:p w14:paraId="511C82A1">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righ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来源：本站</w:t>
      </w:r>
    </w:p>
    <w:p w14:paraId="03821E7D">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浏览量：3747</w:t>
      </w:r>
    </w:p>
    <w:p w14:paraId="12FF6C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机械制造工艺研究所</w:t>
      </w: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2026年推免招生复试实施细则</w:t>
      </w:r>
    </w:p>
    <w:p w14:paraId="775829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为做好我所2026年推荐面试研究生复试录取工作，根据我院《中国工程物理研究院2026年接收推荐免试生章程》《关于做好2026年推荐免试研究生复试录取工作的通知》等文件，结合我所实际，制定本实施细则。</w:t>
      </w:r>
    </w:p>
    <w:p w14:paraId="01783F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一、复试工作原则及组织管理</w:t>
      </w:r>
    </w:p>
    <w:p w14:paraId="761B46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（一）坚持公平公正、按需招生、择优录取、注重质量、宁缺毋滥原则。</w:t>
      </w:r>
    </w:p>
    <w:p w14:paraId="63391F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成立招生复试工作组，由主管领导担任组长，具有副教授（或相当）及以上专业技术职称的教研室专家（含导师）担任组员。负责组织招生复试工作细则的制订和实施，确定复试内容、试题命制、评分标准等，确保复试录取工作有序顺利开展。</w:t>
      </w:r>
    </w:p>
    <w:p w14:paraId="58FD82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（三）坚持亲友回避。复试小组成员、相关管理工作人员中，有直系亲属关系或涉及本人利害关系的人参加考试的，应当主动申请回避此次推免生复试与录取工作。</w:t>
      </w:r>
    </w:p>
    <w:p w14:paraId="45C3C7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二、推免条件与录取名额</w:t>
      </w:r>
    </w:p>
    <w:p w14:paraId="3DEC74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（一）推免条件</w:t>
      </w:r>
    </w:p>
    <w:p w14:paraId="1F5A8B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1.拥护中国共产党的领导，具有良好的思想品德和政治素质，遵纪守法；</w:t>
      </w:r>
    </w:p>
    <w:p w14:paraId="6A0EC4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2.诚实守信，学风端正，无任何考试作弊、学术不端及违法违纪处分记录；</w:t>
      </w:r>
    </w:p>
    <w:p w14:paraId="3B2A48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3.身心健康，符合国家和中物院规定的体检要求；</w:t>
      </w:r>
    </w:p>
    <w:p w14:paraId="44DF69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4.具有教育部批准推免资格的高校优秀应届本科毕业生；</w:t>
      </w:r>
    </w:p>
    <w:p w14:paraId="202DD7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5.获得所在学校推免名额，其中申请“补偿指标”的考生应满足相关高校推荐办法的基本资格条件，并按要求提供包含教务处出具推免资格证明及本科成绩单等相关推荐材料。</w:t>
      </w:r>
    </w:p>
    <w:p w14:paraId="1E3C10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6.学术研究兴趣浓厚，有较强的分析问题、解决问题能力和创新意识；申请直博者，要求学习成绩列专业前茅；</w:t>
      </w:r>
    </w:p>
    <w:p w14:paraId="68CE15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7.跨专业申请者应具备所申请专业大学本科阶段应达到的知识能力和水平，或通过我院组织的相关专业知识测试。</w:t>
      </w:r>
    </w:p>
    <w:p w14:paraId="65EB0B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（二）录取名额</w:t>
      </w:r>
    </w:p>
    <w:p w14:paraId="2D8465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2026年我所“国防科工招生单位推免补偿计划”（以下简称“补偿计划”）7个，分别在重庆大学、四川大学、电子科技大学、湖南大学、西南交通大学和广西大学等6所高校。我所同时接收自带指标推免生。接收推免生（含直博生）的专业为“机械工程”，涉及研究方向为：</w:t>
      </w:r>
    </w:p>
    <w:p w14:paraId="164516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机械设计及理论</w:t>
      </w:r>
    </w:p>
    <w:p w14:paraId="1365F8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01制造工艺装备设计</w:t>
      </w:r>
    </w:p>
    <w:p w14:paraId="6EE585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机械制造及其自动化</w:t>
      </w:r>
    </w:p>
    <w:p w14:paraId="725E08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02高性能制造</w:t>
      </w:r>
    </w:p>
    <w:p w14:paraId="2D446D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03增材制造</w:t>
      </w:r>
    </w:p>
    <w:p w14:paraId="4D3B8F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04智能制造</w:t>
      </w:r>
    </w:p>
    <w:p w14:paraId="7AF603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机械电子工程</w:t>
      </w:r>
    </w:p>
    <w:p w14:paraId="35A474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05机电控制与诊断</w:t>
      </w:r>
    </w:p>
    <w:p w14:paraId="0CCE96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06智能检测与传感</w:t>
      </w:r>
    </w:p>
    <w:p w14:paraId="415D82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超精密加工技术与高端装备</w:t>
      </w:r>
    </w:p>
    <w:p w14:paraId="36F523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07金属微纳制造</w:t>
      </w:r>
    </w:p>
    <w:p w14:paraId="221993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08光学精密加工</w:t>
      </w:r>
    </w:p>
    <w:p w14:paraId="0562DB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09超精密制造与检测装备</w:t>
      </w:r>
    </w:p>
    <w:p w14:paraId="753A59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复试采取差额形式，原则上差额比例不低于120%。</w:t>
      </w:r>
    </w:p>
    <w:p w14:paraId="63A9AA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三、复试形式与时间</w:t>
      </w:r>
    </w:p>
    <w:p w14:paraId="2F86C9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本次复试根据需要可分批次线下进行；复试时间为2025年9-10月，具体时间另行通知。</w:t>
      </w:r>
    </w:p>
    <w:p w14:paraId="3B37A9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b/>
          <w:bCs/>
          <w:i w:val="0"/>
          <w:iCs w:val="0"/>
          <w:caps w:val="0"/>
          <w:color w:val="222222"/>
          <w:spacing w:val="0"/>
          <w:sz w:val="21"/>
          <w:szCs w:val="21"/>
          <w:u w:val="none"/>
          <w:bdr w:val="none" w:color="auto" w:sz="0" w:space="0"/>
          <w:shd w:val="clear" w:fill="FFFFFF"/>
        </w:rPr>
        <w:t>四、</w:t>
      </w: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复试工作程序</w:t>
      </w:r>
    </w:p>
    <w:p w14:paraId="3C316F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复试安排详见《复试日程安排表》（附件1）。</w:t>
      </w:r>
    </w:p>
    <w:p w14:paraId="3D9BFB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（一）复试资格审查</w:t>
      </w:r>
    </w:p>
    <w:p w14:paraId="20F49A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前须对考生的材料进行审查，包括教务处出具的推免资格证明、本科成绩单（加盖出具部门公章）、英语水平证明、获奖证书，以及身份证、学生证及手写签名的《诚信复试承诺书》（附件2）等，其中本科成绩单原件须提交复试单位。申请直博生者，须有两名所报考学科领域的副教授及以上或相当专业技术职称专家的推荐意见，详见《中物院直博生提交专家推荐信流程》（附件3），网址：</w:t>
      </w:r>
    </w:p>
    <w:p w14:paraId="78A015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spacing w:val="0"/>
          <w:sz w:val="21"/>
          <w:szCs w:val="21"/>
          <w:u w:val="none"/>
          <w:bdr w:val="none" w:color="auto" w:sz="0" w:space="0"/>
          <w:shd w:val="clear" w:fill="FFFFFF"/>
        </w:rPr>
        <w:instrText xml:space="preserve"> HYPERLINK "https://zsxx.gscaep.ac.cn/enrollment/detail/1923%EF%BC%89%E3%80%82" </w:instrTex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separate"/>
      </w:r>
      <w:r>
        <w:rPr>
          <w:rStyle w:val="6"/>
          <w:rFonts w:hint="eastAsia" w:ascii="微软雅黑" w:hAnsi="微软雅黑" w:eastAsia="微软雅黑" w:cs="微软雅黑"/>
          <w:i w:val="0"/>
          <w:iCs w:val="0"/>
          <w:caps w:val="0"/>
          <w:color w:val="222222"/>
          <w:spacing w:val="0"/>
          <w:sz w:val="21"/>
          <w:szCs w:val="21"/>
          <w:u w:val="none"/>
          <w:bdr w:val="none" w:color="auto" w:sz="0" w:space="0"/>
          <w:shd w:val="clear" w:fill="FFFFFF"/>
        </w:rPr>
        <w:t>https://zsxx.gscaep.ac.cn/enrollment/detail/1923）。</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end"/>
      </w:r>
    </w:p>
    <w:p w14:paraId="677891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研究生院将在后期及入学后3个月内对考生进行严格复审，凡提供的申请材料弄虚作假者，无论何时一经发现均可取消录取、入学资格或学籍，情节严重者交由相关部门处理，并记入《考生考试诚信档案》。</w:t>
      </w:r>
    </w:p>
    <w:p w14:paraId="1D9885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（二）身心健康检查</w:t>
      </w:r>
    </w:p>
    <w:p w14:paraId="0EBAB2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考生在复试前如实填写身体健康基本信息表。本次复试不进行即时体检，被录取考生入学后安排体检。对体检不合格的考生根据情况保留入学资格或取消入学资格。</w:t>
      </w:r>
    </w:p>
    <w:p w14:paraId="595615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考生的体检要求参照教育部、卫生部印发的《普通高等学校招生体检工作指导意见》（教学〔2003〕3号）和《公务员录用体检通用标准》执行。</w:t>
      </w:r>
    </w:p>
    <w:p w14:paraId="59CAA60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考生面试前安排远程素质测评。</w:t>
      </w:r>
    </w:p>
    <w:p w14:paraId="5E596B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（三）笔试和英语能力测试</w:t>
      </w:r>
    </w:p>
    <w:p w14:paraId="42BB3B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面试前进行笔试和外语能力测试。</w:t>
      </w:r>
    </w:p>
    <w:p w14:paraId="42A09B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1.笔试</w:t>
      </w:r>
    </w:p>
    <w:p w14:paraId="4E67C3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重点考察考生对本学科专业基础知识和专业知识的综合掌握情况，内容由复试小组根据专业方向确定，考试时长90分钟。科目为理论力学（闭卷），参考书目 ：《理论力学》(2021年第3版)，李俊峰、张雄合著，清华大学出版社出版。</w:t>
      </w:r>
    </w:p>
    <w:p w14:paraId="35A416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2.外语能力测试</w:t>
      </w:r>
    </w:p>
    <w:p w14:paraId="0B9A10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采取交流对话方式测试考生外语听力和口语水平，时长约5分钟。</w:t>
      </w:r>
    </w:p>
    <w:p w14:paraId="431F3A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（四）面试</w:t>
      </w:r>
    </w:p>
    <w:p w14:paraId="60DE48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复试小组通过面试方式对考生的专业能力及综合素质进行考核。每位考生的面试时长不少于20分钟（含外语测试）。</w:t>
      </w:r>
    </w:p>
    <w:p w14:paraId="5F45B9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考核主要内容为：</w:t>
      </w:r>
    </w:p>
    <w:p w14:paraId="0AEDF4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1.学科专业知识的考核</w:t>
      </w:r>
    </w:p>
    <w:p w14:paraId="129622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重点考核考生对本学科基础知识和专业知识掌握程度。</w:t>
      </w:r>
    </w:p>
    <w:p w14:paraId="728366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2.科研能力考核</w:t>
      </w:r>
    </w:p>
    <w:p w14:paraId="5C5F9A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考核考生运用所学知识发现问题、分析问题和解决问题的能力。</w:t>
      </w:r>
    </w:p>
    <w:p w14:paraId="2CA27E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3.学术志趣、培养潜力的考核</w:t>
      </w:r>
    </w:p>
    <w:p w14:paraId="592651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考核考生对报考学科专业的了解情况，了解考生的专业兴趣、学术志趣、培养潜力。</w:t>
      </w:r>
    </w:p>
    <w:p w14:paraId="67A9ED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4.政治思想品德及综合素质考核</w:t>
      </w:r>
    </w:p>
    <w:p w14:paraId="61DB14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主要考核考生的政治态度、思想表现、对法轮功等邪教组织的认识等，考核学生学习（工作）态度、道德品质、团结合作、兴趣爱好等综合素质。</w:t>
      </w:r>
    </w:p>
    <w:p w14:paraId="7D679A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（五）成绩评定</w:t>
      </w:r>
    </w:p>
    <w:p w14:paraId="3799E0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复试成绩满分为100分，复试成绩=笔试×30%+英语听说×10%+复试小组评分×60%。</w:t>
      </w:r>
    </w:p>
    <w:p w14:paraId="42E54A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（六）录取</w:t>
      </w:r>
    </w:p>
    <w:p w14:paraId="049836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1.复试成绩低于60分者不予录取；思想政治素质和道德品质考核及体检不作量化计入总成绩，考核结果不合格者不予录取。</w:t>
      </w:r>
    </w:p>
    <w:p w14:paraId="00B99F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2.按录取成绩排序由高到低录取，如有已录取者放弃将顺次递进录取。</w:t>
      </w:r>
    </w:p>
    <w:p w14:paraId="31F413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五、监督、咨询及其他</w:t>
      </w:r>
    </w:p>
    <w:p w14:paraId="4DDF6A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（一）招生复试工作组对复试录取过程的公平、公正和复试结果全面负责。</w:t>
      </w:r>
    </w:p>
    <w:p w14:paraId="2077D2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（二）研究生院、所纪检监察部门参与对复试录取工作的监督。投诉监督举报电话：</w:t>
      </w:r>
    </w:p>
    <w:p w14:paraId="57DEB4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机械制造工艺研究所纪检监察室：0816-2494778</w:t>
      </w:r>
    </w:p>
    <w:p w14:paraId="6466FA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中物院研究生院纪检电话：010-56989436</w:t>
      </w:r>
    </w:p>
    <w:p w14:paraId="44186D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北京市研究生招生办公室招生专用监督电话：010-82637456</w:t>
      </w:r>
    </w:p>
    <w:p w14:paraId="3A4732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（三）咨询方式：0816-2494691</w:t>
      </w:r>
    </w:p>
    <w:p w14:paraId="319E2E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（四）复试实施细则及其实施过程涉及的相关问题，由招生复试工作组负责解释。</w:t>
      </w:r>
    </w:p>
    <w:p w14:paraId="39E1D3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附件：</w:t>
      </w:r>
    </w:p>
    <w:p w14:paraId="19D350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1.复试日程安排表</w:t>
      </w:r>
    </w:p>
    <w:p w14:paraId="59E430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2.诚信复试承诺书</w:t>
      </w:r>
    </w:p>
    <w:p w14:paraId="2F5BDA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3.中物院直博生提交专家推荐信流程</w:t>
      </w:r>
    </w:p>
    <w:p w14:paraId="383617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p>
    <w:p w14:paraId="7414B1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p>
    <w:p w14:paraId="401A44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机械制造工艺研究所</w:t>
      </w:r>
    </w:p>
    <w:p w14:paraId="239BAC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2025年9月12日      </w:t>
      </w:r>
    </w:p>
    <w:p w14:paraId="1F8DE5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附件1：  </w:t>
      </w:r>
    </w:p>
    <w:p w14:paraId="49057A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机械制造工艺研究所硕士点2026推免复试安排</w:t>
      </w:r>
    </w:p>
    <w:tbl>
      <w:tblPr>
        <w:tblW w:w="8688"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831"/>
        <w:gridCol w:w="982"/>
        <w:gridCol w:w="3062"/>
        <w:gridCol w:w="1018"/>
        <w:gridCol w:w="1741"/>
        <w:gridCol w:w="1054"/>
      </w:tblGrid>
      <w:tr w14:paraId="260E7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786" w:type="dxa"/>
            <w:tcBorders>
              <w:top w:val="nil"/>
              <w:left w:val="nil"/>
              <w:bottom w:val="nil"/>
              <w:right w:val="nil"/>
            </w:tcBorders>
            <w:shd w:val="clear"/>
            <w:vAlign w:val="center"/>
          </w:tcPr>
          <w:p w14:paraId="48132E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sz w:val="21"/>
                <w:szCs w:val="21"/>
                <w:u w:val="none"/>
                <w:bdr w:val="none" w:color="auto" w:sz="0" w:space="0"/>
              </w:rPr>
              <w:t>序号</w:t>
            </w:r>
          </w:p>
        </w:tc>
        <w:tc>
          <w:tcPr>
            <w:tcW w:w="952" w:type="dxa"/>
            <w:tcBorders>
              <w:top w:val="nil"/>
              <w:left w:val="nil"/>
              <w:bottom w:val="nil"/>
              <w:right w:val="nil"/>
            </w:tcBorders>
            <w:shd w:val="clear"/>
            <w:vAlign w:val="center"/>
          </w:tcPr>
          <w:p w14:paraId="759695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sz w:val="21"/>
                <w:szCs w:val="21"/>
                <w:u w:val="none"/>
                <w:bdr w:val="none" w:color="auto" w:sz="0" w:space="0"/>
              </w:rPr>
              <w:t>日期</w:t>
            </w:r>
          </w:p>
        </w:tc>
        <w:tc>
          <w:tcPr>
            <w:tcW w:w="3032" w:type="dxa"/>
            <w:tcBorders>
              <w:top w:val="nil"/>
              <w:left w:val="nil"/>
              <w:bottom w:val="nil"/>
              <w:right w:val="nil"/>
            </w:tcBorders>
            <w:shd w:val="clear"/>
            <w:vAlign w:val="center"/>
          </w:tcPr>
          <w:p w14:paraId="27BA1B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sz w:val="21"/>
                <w:szCs w:val="21"/>
                <w:u w:val="none"/>
                <w:bdr w:val="none" w:color="auto" w:sz="0" w:space="0"/>
              </w:rPr>
              <w:t>活动内容</w:t>
            </w:r>
          </w:p>
        </w:tc>
        <w:tc>
          <w:tcPr>
            <w:tcW w:w="988" w:type="dxa"/>
            <w:tcBorders>
              <w:top w:val="nil"/>
              <w:left w:val="nil"/>
              <w:bottom w:val="nil"/>
              <w:right w:val="nil"/>
            </w:tcBorders>
            <w:shd w:val="clear"/>
            <w:vAlign w:val="center"/>
          </w:tcPr>
          <w:p w14:paraId="341C33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sz w:val="21"/>
                <w:szCs w:val="21"/>
                <w:u w:val="none"/>
                <w:bdr w:val="none" w:color="auto" w:sz="0" w:space="0"/>
              </w:rPr>
              <w:t>地点</w:t>
            </w:r>
          </w:p>
        </w:tc>
        <w:tc>
          <w:tcPr>
            <w:tcW w:w="1711" w:type="dxa"/>
            <w:tcBorders>
              <w:top w:val="nil"/>
              <w:left w:val="nil"/>
              <w:bottom w:val="nil"/>
              <w:right w:val="nil"/>
            </w:tcBorders>
            <w:shd w:val="clear"/>
            <w:vAlign w:val="center"/>
          </w:tcPr>
          <w:p w14:paraId="3EAFA9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sz w:val="21"/>
                <w:szCs w:val="21"/>
                <w:u w:val="none"/>
                <w:bdr w:val="none" w:color="auto" w:sz="0" w:space="0"/>
              </w:rPr>
              <w:t>联系人</w:t>
            </w:r>
          </w:p>
        </w:tc>
        <w:tc>
          <w:tcPr>
            <w:tcW w:w="1009" w:type="dxa"/>
            <w:tcBorders>
              <w:top w:val="nil"/>
              <w:left w:val="nil"/>
              <w:bottom w:val="nil"/>
              <w:right w:val="nil"/>
            </w:tcBorders>
            <w:shd w:val="clear"/>
            <w:vAlign w:val="center"/>
          </w:tcPr>
          <w:p w14:paraId="5385EE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sz w:val="21"/>
                <w:szCs w:val="21"/>
                <w:u w:val="none"/>
                <w:bdr w:val="none" w:color="auto" w:sz="0" w:space="0"/>
              </w:rPr>
              <w:t>备注</w:t>
            </w:r>
          </w:p>
        </w:tc>
      </w:tr>
      <w:tr w14:paraId="0E190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786" w:type="dxa"/>
            <w:tcBorders>
              <w:top w:val="nil"/>
              <w:left w:val="nil"/>
              <w:bottom w:val="nil"/>
              <w:right w:val="nil"/>
            </w:tcBorders>
            <w:shd w:val="clear"/>
            <w:vAlign w:val="top"/>
          </w:tcPr>
          <w:p w14:paraId="009E84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1</w:t>
            </w:r>
          </w:p>
        </w:tc>
        <w:tc>
          <w:tcPr>
            <w:tcW w:w="952" w:type="dxa"/>
            <w:tcBorders>
              <w:top w:val="nil"/>
              <w:left w:val="nil"/>
              <w:bottom w:val="nil"/>
              <w:right w:val="nil"/>
            </w:tcBorders>
            <w:shd w:val="clear"/>
            <w:vAlign w:val="top"/>
          </w:tcPr>
          <w:p w14:paraId="198B86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Day1</w:t>
            </w:r>
            <w:r>
              <w:rPr>
                <w:rFonts w:hint="eastAsia" w:ascii="微软雅黑" w:hAnsi="微软雅黑" w:eastAsia="微软雅黑" w:cs="微软雅黑"/>
                <w:sz w:val="21"/>
                <w:szCs w:val="21"/>
                <w:u w:val="none"/>
                <w:bdr w:val="none" w:color="auto" w:sz="0" w:space="0"/>
              </w:rPr>
              <w:t>前</w:t>
            </w:r>
          </w:p>
        </w:tc>
        <w:tc>
          <w:tcPr>
            <w:tcW w:w="3032" w:type="dxa"/>
            <w:tcBorders>
              <w:top w:val="nil"/>
              <w:left w:val="nil"/>
              <w:bottom w:val="nil"/>
              <w:right w:val="nil"/>
            </w:tcBorders>
            <w:shd w:val="clear"/>
            <w:vAlign w:val="top"/>
          </w:tcPr>
          <w:p w14:paraId="54AEE4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1</w:t>
            </w:r>
            <w:r>
              <w:rPr>
                <w:rFonts w:hint="eastAsia" w:ascii="微软雅黑" w:hAnsi="微软雅黑" w:eastAsia="微软雅黑" w:cs="微软雅黑"/>
                <w:sz w:val="21"/>
                <w:szCs w:val="21"/>
                <w:u w:val="none"/>
                <w:bdr w:val="none" w:color="auto" w:sz="0" w:space="0"/>
              </w:rPr>
              <w:t>、资格审查：</w:t>
            </w:r>
          </w:p>
          <w:p w14:paraId="674135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263"/>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核查以下报考材料：</w:t>
            </w:r>
            <w:r>
              <w:rPr>
                <w:rFonts w:hint="eastAsia" w:ascii="微软雅黑" w:hAnsi="微软雅黑" w:eastAsia="微软雅黑" w:cs="微软雅黑"/>
                <w:sz w:val="21"/>
                <w:szCs w:val="21"/>
                <w:u w:val="none"/>
                <w:bdr w:val="none" w:color="auto" w:sz="0" w:space="0"/>
              </w:rPr>
              <w:br w:type="textWrapping"/>
            </w:r>
            <w:r>
              <w:rPr>
                <w:rFonts w:hint="eastAsia" w:ascii="微软雅黑" w:hAnsi="微软雅黑" w:eastAsia="微软雅黑" w:cs="微软雅黑"/>
                <w:sz w:val="21"/>
                <w:szCs w:val="21"/>
                <w:u w:val="none"/>
                <w:bdr w:val="none" w:color="auto" w:sz="0" w:space="0"/>
              </w:rPr>
              <w:t>（</w:t>
            </w:r>
            <w:r>
              <w:rPr>
                <w:rFonts w:hint="eastAsia" w:ascii="微软雅黑" w:hAnsi="微软雅黑" w:eastAsia="微软雅黑" w:cs="微软雅黑"/>
                <w:sz w:val="21"/>
                <w:szCs w:val="21"/>
                <w:u w:val="none"/>
                <w:bdr w:val="none" w:color="auto" w:sz="0" w:space="0"/>
              </w:rPr>
              <w:t>1</w:t>
            </w:r>
            <w:r>
              <w:rPr>
                <w:rFonts w:hint="eastAsia" w:ascii="微软雅黑" w:hAnsi="微软雅黑" w:eastAsia="微软雅黑" w:cs="微软雅黑"/>
                <w:sz w:val="21"/>
                <w:szCs w:val="21"/>
                <w:u w:val="none"/>
                <w:bdr w:val="none" w:color="auto" w:sz="0" w:space="0"/>
              </w:rPr>
              <w:t>）身份证、学生证</w:t>
            </w:r>
          </w:p>
          <w:p w14:paraId="1572A5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w:t>
            </w:r>
            <w:r>
              <w:rPr>
                <w:rFonts w:hint="eastAsia" w:ascii="微软雅黑" w:hAnsi="微软雅黑" w:eastAsia="微软雅黑" w:cs="微软雅黑"/>
                <w:sz w:val="21"/>
                <w:szCs w:val="21"/>
                <w:u w:val="none"/>
                <w:bdr w:val="none" w:color="auto" w:sz="0" w:space="0"/>
              </w:rPr>
              <w:t>2</w:t>
            </w:r>
            <w:r>
              <w:rPr>
                <w:rFonts w:hint="eastAsia" w:ascii="微软雅黑" w:hAnsi="微软雅黑" w:eastAsia="微软雅黑" w:cs="微软雅黑"/>
                <w:sz w:val="21"/>
                <w:szCs w:val="21"/>
                <w:u w:val="none"/>
                <w:bdr w:val="none" w:color="auto" w:sz="0" w:space="0"/>
              </w:rPr>
              <w:t>）教务处出具的推免资格证明</w:t>
            </w:r>
          </w:p>
          <w:p w14:paraId="0E0D8F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w:t>
            </w:r>
            <w:r>
              <w:rPr>
                <w:rFonts w:hint="eastAsia" w:ascii="微软雅黑" w:hAnsi="微软雅黑" w:eastAsia="微软雅黑" w:cs="微软雅黑"/>
                <w:sz w:val="21"/>
                <w:szCs w:val="21"/>
                <w:u w:val="none"/>
                <w:bdr w:val="none" w:color="auto" w:sz="0" w:space="0"/>
              </w:rPr>
              <w:t>3</w:t>
            </w:r>
            <w:r>
              <w:rPr>
                <w:rFonts w:hint="eastAsia" w:ascii="微软雅黑" w:hAnsi="微软雅黑" w:eastAsia="微软雅黑" w:cs="微软雅黑"/>
                <w:sz w:val="21"/>
                <w:szCs w:val="21"/>
                <w:u w:val="none"/>
                <w:bdr w:val="none" w:color="auto" w:sz="0" w:space="0"/>
              </w:rPr>
              <w:t>）加盖教务处公章的考生本科成绩单</w:t>
            </w:r>
            <w:r>
              <w:rPr>
                <w:rFonts w:hint="eastAsia" w:ascii="微软雅黑" w:hAnsi="微软雅黑" w:eastAsia="微软雅黑" w:cs="微软雅黑"/>
                <w:sz w:val="21"/>
                <w:szCs w:val="21"/>
                <w:u w:val="none"/>
                <w:bdr w:val="none" w:color="auto" w:sz="0" w:space="0"/>
              </w:rPr>
              <w:br w:type="textWrapping"/>
            </w:r>
            <w:r>
              <w:rPr>
                <w:rFonts w:hint="eastAsia" w:ascii="微软雅黑" w:hAnsi="微软雅黑" w:eastAsia="微软雅黑" w:cs="微软雅黑"/>
                <w:sz w:val="21"/>
                <w:szCs w:val="21"/>
                <w:u w:val="none"/>
                <w:bdr w:val="none" w:color="auto" w:sz="0" w:space="0"/>
              </w:rPr>
              <w:t> </w:t>
            </w:r>
            <w:r>
              <w:rPr>
                <w:rFonts w:hint="eastAsia" w:ascii="微软雅黑" w:hAnsi="微软雅黑" w:eastAsia="微软雅黑" w:cs="微软雅黑"/>
                <w:sz w:val="21"/>
                <w:szCs w:val="21"/>
                <w:u w:val="none"/>
                <w:bdr w:val="none" w:color="auto" w:sz="0" w:space="0"/>
              </w:rPr>
              <w:t>⑷获奖证书、英语、计算机等级考试等证书原件</w:t>
            </w:r>
            <w:r>
              <w:rPr>
                <w:rFonts w:hint="eastAsia" w:ascii="微软雅黑" w:hAnsi="微软雅黑" w:eastAsia="微软雅黑" w:cs="微软雅黑"/>
                <w:sz w:val="21"/>
                <w:szCs w:val="21"/>
                <w:u w:val="none"/>
                <w:bdr w:val="none" w:color="auto" w:sz="0" w:space="0"/>
              </w:rPr>
              <w:br w:type="textWrapping"/>
            </w:r>
            <w:r>
              <w:rPr>
                <w:rFonts w:hint="eastAsia" w:ascii="微软雅黑" w:hAnsi="微软雅黑" w:eastAsia="微软雅黑" w:cs="微软雅黑"/>
                <w:sz w:val="21"/>
                <w:szCs w:val="21"/>
                <w:u w:val="none"/>
                <w:bdr w:val="none" w:color="auto" w:sz="0" w:space="0"/>
              </w:rPr>
              <w:t> </w:t>
            </w:r>
            <w:r>
              <w:rPr>
                <w:rFonts w:hint="eastAsia" w:ascii="微软雅黑" w:hAnsi="微软雅黑" w:eastAsia="微软雅黑" w:cs="微软雅黑"/>
                <w:sz w:val="21"/>
                <w:szCs w:val="21"/>
                <w:u w:val="none"/>
                <w:bdr w:val="none" w:color="auto" w:sz="0" w:space="0"/>
              </w:rPr>
              <w:t>⑸</w:t>
            </w:r>
            <w:r>
              <w:rPr>
                <w:rFonts w:hint="eastAsia" w:ascii="微软雅黑" w:hAnsi="微软雅黑" w:eastAsia="微软雅黑" w:cs="微软雅黑"/>
                <w:sz w:val="21"/>
                <w:szCs w:val="21"/>
                <w:u w:val="none"/>
                <w:bdr w:val="none" w:color="auto" w:sz="0" w:space="0"/>
              </w:rPr>
              <w:t> </w:t>
            </w:r>
            <w:r>
              <w:rPr>
                <w:rFonts w:hint="eastAsia" w:ascii="微软雅黑" w:hAnsi="微软雅黑" w:eastAsia="微软雅黑" w:cs="微软雅黑"/>
                <w:sz w:val="21"/>
                <w:szCs w:val="21"/>
                <w:u w:val="none"/>
                <w:bdr w:val="none" w:color="auto" w:sz="0" w:space="0"/>
              </w:rPr>
              <w:t>诚信复试承诺书</w:t>
            </w:r>
          </w:p>
          <w:p w14:paraId="0B65C7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、健康信息表、资格审查表，（自行打印随纸质材料一并提交）</w:t>
            </w:r>
          </w:p>
          <w:p w14:paraId="2991FC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6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(6) </w:t>
            </w:r>
            <w:r>
              <w:rPr>
                <w:rFonts w:hint="eastAsia" w:ascii="微软雅黑" w:hAnsi="微软雅黑" w:eastAsia="微软雅黑" w:cs="微软雅黑"/>
                <w:sz w:val="21"/>
                <w:szCs w:val="21"/>
                <w:u w:val="none"/>
                <w:bdr w:val="none" w:color="auto" w:sz="0" w:space="0"/>
              </w:rPr>
              <w:t>专家推荐信</w:t>
            </w:r>
          </w:p>
          <w:p w14:paraId="630BE2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2</w:t>
            </w:r>
            <w:r>
              <w:rPr>
                <w:rFonts w:hint="eastAsia" w:ascii="微软雅黑" w:hAnsi="微软雅黑" w:eastAsia="微软雅黑" w:cs="微软雅黑"/>
                <w:sz w:val="21"/>
                <w:szCs w:val="21"/>
                <w:u w:val="none"/>
                <w:bdr w:val="none" w:color="auto" w:sz="0" w:space="0"/>
              </w:rPr>
              <w:t>、素质测评（提前远程完成）</w:t>
            </w:r>
          </w:p>
        </w:tc>
        <w:tc>
          <w:tcPr>
            <w:tcW w:w="988" w:type="dxa"/>
            <w:tcBorders>
              <w:top w:val="nil"/>
              <w:left w:val="nil"/>
              <w:bottom w:val="nil"/>
              <w:right w:val="nil"/>
            </w:tcBorders>
            <w:shd w:val="clear"/>
            <w:vAlign w:val="top"/>
          </w:tcPr>
          <w:p w14:paraId="5D2530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所办公楼会议室</w:t>
            </w:r>
          </w:p>
        </w:tc>
        <w:tc>
          <w:tcPr>
            <w:tcW w:w="1711" w:type="dxa"/>
            <w:vMerge w:val="restart"/>
            <w:tcBorders>
              <w:top w:val="nil"/>
              <w:left w:val="nil"/>
              <w:bottom w:val="nil"/>
              <w:right w:val="nil"/>
            </w:tcBorders>
            <w:shd w:val="clear"/>
            <w:vAlign w:val="top"/>
          </w:tcPr>
          <w:p w14:paraId="6FA081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陈启凤</w:t>
            </w:r>
            <w:r>
              <w:rPr>
                <w:rFonts w:hint="eastAsia" w:ascii="微软雅黑" w:hAnsi="微软雅黑" w:eastAsia="微软雅黑" w:cs="微软雅黑"/>
                <w:sz w:val="21"/>
                <w:szCs w:val="21"/>
                <w:u w:val="none"/>
                <w:bdr w:val="none" w:color="auto" w:sz="0" w:space="0"/>
              </w:rPr>
              <w:t> </w:t>
            </w:r>
            <w:r>
              <w:rPr>
                <w:rFonts w:hint="eastAsia" w:ascii="微软雅黑" w:hAnsi="微软雅黑" w:eastAsia="微软雅黑" w:cs="微软雅黑"/>
                <w:sz w:val="21"/>
                <w:szCs w:val="21"/>
                <w:u w:val="none"/>
                <w:bdr w:val="none" w:color="auto" w:sz="0" w:space="0"/>
              </w:rPr>
              <w:br w:type="textWrapping"/>
            </w:r>
            <w:r>
              <w:rPr>
                <w:rFonts w:hint="eastAsia" w:ascii="微软雅黑" w:hAnsi="微软雅黑" w:eastAsia="微软雅黑" w:cs="微软雅黑"/>
                <w:sz w:val="21"/>
                <w:szCs w:val="21"/>
                <w:u w:val="none"/>
                <w:bdr w:val="none" w:color="auto" w:sz="0" w:space="0"/>
              </w:rPr>
              <w:t>2484691/13980130416</w:t>
            </w:r>
            <w:r>
              <w:rPr>
                <w:rFonts w:hint="eastAsia" w:ascii="微软雅黑" w:hAnsi="微软雅黑" w:eastAsia="微软雅黑" w:cs="微软雅黑"/>
                <w:sz w:val="21"/>
                <w:szCs w:val="21"/>
                <w:u w:val="none"/>
                <w:bdr w:val="none" w:color="auto" w:sz="0" w:space="0"/>
              </w:rPr>
              <w:br w:type="textWrapping"/>
            </w:r>
            <w:r>
              <w:rPr>
                <w:rFonts w:hint="eastAsia" w:ascii="微软雅黑" w:hAnsi="微软雅黑" w:eastAsia="微软雅黑" w:cs="微软雅黑"/>
                <w:sz w:val="21"/>
                <w:szCs w:val="21"/>
                <w:u w:val="none"/>
                <w:bdr w:val="none" w:color="auto" w:sz="0" w:space="0"/>
              </w:rPr>
              <w:t> </w:t>
            </w:r>
            <w:r>
              <w:rPr>
                <w:rFonts w:hint="eastAsia" w:ascii="微软雅黑" w:hAnsi="微软雅黑" w:eastAsia="微软雅黑" w:cs="微软雅黑"/>
                <w:sz w:val="21"/>
                <w:szCs w:val="21"/>
                <w:u w:val="none"/>
                <w:bdr w:val="none" w:color="auto" w:sz="0" w:space="0"/>
              </w:rPr>
              <w:t>孙凯华</w:t>
            </w:r>
            <w:r>
              <w:rPr>
                <w:rFonts w:hint="eastAsia" w:ascii="微软雅黑" w:hAnsi="微软雅黑" w:eastAsia="微软雅黑" w:cs="微软雅黑"/>
                <w:sz w:val="21"/>
                <w:szCs w:val="21"/>
                <w:u w:val="none"/>
                <w:bdr w:val="none" w:color="auto" w:sz="0" w:space="0"/>
              </w:rPr>
              <w:t>0816-2495740/15983620711</w:t>
            </w:r>
          </w:p>
          <w:p w14:paraId="27B200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刘乾</w:t>
            </w:r>
          </w:p>
          <w:p w14:paraId="7040BE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0816-2481798/13930138885</w:t>
            </w:r>
          </w:p>
          <w:p w14:paraId="5D2973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p>
        </w:tc>
        <w:tc>
          <w:tcPr>
            <w:tcW w:w="1009" w:type="dxa"/>
            <w:tcBorders>
              <w:top w:val="nil"/>
              <w:left w:val="nil"/>
              <w:bottom w:val="nil"/>
              <w:right w:val="nil"/>
            </w:tcBorders>
            <w:shd w:val="clear"/>
            <w:vAlign w:val="top"/>
          </w:tcPr>
          <w:p w14:paraId="16145A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与笔试同步进行</w:t>
            </w:r>
          </w:p>
        </w:tc>
      </w:tr>
      <w:tr w14:paraId="0D1AF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 w:hRule="atLeast"/>
          <w:tblCellSpacing w:w="15" w:type="dxa"/>
        </w:trPr>
        <w:tc>
          <w:tcPr>
            <w:tcW w:w="786" w:type="dxa"/>
            <w:tcBorders>
              <w:top w:val="nil"/>
              <w:left w:val="nil"/>
              <w:bottom w:val="nil"/>
              <w:right w:val="nil"/>
            </w:tcBorders>
            <w:shd w:val="clear"/>
            <w:vAlign w:val="top"/>
          </w:tcPr>
          <w:p w14:paraId="6A6590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2</w:t>
            </w:r>
          </w:p>
        </w:tc>
        <w:tc>
          <w:tcPr>
            <w:tcW w:w="952" w:type="dxa"/>
            <w:tcBorders>
              <w:top w:val="nil"/>
              <w:left w:val="nil"/>
              <w:bottom w:val="nil"/>
              <w:right w:val="nil"/>
            </w:tcBorders>
            <w:shd w:val="clear"/>
            <w:vAlign w:val="top"/>
          </w:tcPr>
          <w:p w14:paraId="48208D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Day2</w:t>
            </w:r>
          </w:p>
        </w:tc>
        <w:tc>
          <w:tcPr>
            <w:tcW w:w="3032" w:type="dxa"/>
            <w:tcBorders>
              <w:top w:val="nil"/>
              <w:left w:val="nil"/>
              <w:bottom w:val="nil"/>
              <w:right w:val="nil"/>
            </w:tcBorders>
            <w:shd w:val="clear"/>
            <w:vAlign w:val="top"/>
          </w:tcPr>
          <w:p w14:paraId="250E42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专业课笔试</w:t>
            </w:r>
            <w:r>
              <w:rPr>
                <w:rFonts w:hint="eastAsia" w:ascii="微软雅黑" w:hAnsi="微软雅黑" w:eastAsia="微软雅黑" w:cs="微软雅黑"/>
                <w:sz w:val="21"/>
                <w:szCs w:val="21"/>
                <w:u w:val="none"/>
                <w:bdr w:val="none" w:color="auto" w:sz="0" w:space="0"/>
              </w:rPr>
              <w:br w:type="textWrapping"/>
            </w:r>
            <w:r>
              <w:rPr>
                <w:rFonts w:hint="eastAsia" w:ascii="微软雅黑" w:hAnsi="微软雅黑" w:eastAsia="微软雅黑" w:cs="微软雅黑"/>
                <w:sz w:val="21"/>
                <w:szCs w:val="21"/>
                <w:u w:val="none"/>
                <w:bdr w:val="none" w:color="auto" w:sz="0" w:space="0"/>
              </w:rPr>
              <w:t>英语口语、听力测试</w:t>
            </w:r>
          </w:p>
        </w:tc>
        <w:tc>
          <w:tcPr>
            <w:tcW w:w="988" w:type="dxa"/>
            <w:tcBorders>
              <w:top w:val="nil"/>
              <w:left w:val="nil"/>
              <w:bottom w:val="nil"/>
              <w:right w:val="nil"/>
            </w:tcBorders>
            <w:shd w:val="clear"/>
            <w:vAlign w:val="top"/>
          </w:tcPr>
          <w:p w14:paraId="3F109F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所办公楼会议室</w:t>
            </w:r>
          </w:p>
        </w:tc>
        <w:tc>
          <w:tcPr>
            <w:tcW w:w="1711" w:type="dxa"/>
            <w:vMerge w:val="continue"/>
            <w:tcBorders>
              <w:top w:val="nil"/>
              <w:left w:val="nil"/>
              <w:bottom w:val="nil"/>
              <w:right w:val="nil"/>
            </w:tcBorders>
            <w:shd w:val="clear"/>
            <w:vAlign w:val="top"/>
          </w:tcPr>
          <w:p w14:paraId="19F20EBF">
            <w:pPr>
              <w:keepNext w:val="0"/>
              <w:keepLines w:val="0"/>
              <w:pageBreakBefore w:val="0"/>
              <w:widowControl/>
              <w:kinsoku/>
              <w:wordWrap/>
              <w:overflowPunct/>
              <w:topLinePunct w:val="0"/>
              <w:autoSpaceDE/>
              <w:autoSpaceDN/>
              <w:bidi w:val="0"/>
              <w:adjustRightInd/>
              <w:snapToGrid/>
              <w:spacing w:line="240" w:lineRule="exact"/>
              <w:ind w:left="0" w:right="0"/>
              <w:jc w:val="left"/>
              <w:textAlignment w:val="auto"/>
              <w:rPr>
                <w:rFonts w:hint="eastAsia" w:ascii="微软雅黑" w:hAnsi="微软雅黑" w:eastAsia="微软雅黑" w:cs="微软雅黑"/>
                <w:sz w:val="21"/>
                <w:szCs w:val="21"/>
                <w:u w:val="none"/>
              </w:rPr>
            </w:pPr>
          </w:p>
        </w:tc>
        <w:tc>
          <w:tcPr>
            <w:tcW w:w="1009" w:type="dxa"/>
            <w:tcBorders>
              <w:top w:val="nil"/>
              <w:left w:val="nil"/>
              <w:bottom w:val="nil"/>
              <w:right w:val="nil"/>
            </w:tcBorders>
            <w:shd w:val="clear"/>
            <w:vAlign w:val="top"/>
          </w:tcPr>
          <w:p w14:paraId="035A61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p>
        </w:tc>
      </w:tr>
      <w:tr w14:paraId="4F386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03" w:hRule="atLeast"/>
          <w:tblCellSpacing w:w="15" w:type="dxa"/>
        </w:trPr>
        <w:tc>
          <w:tcPr>
            <w:tcW w:w="786" w:type="dxa"/>
            <w:tcBorders>
              <w:top w:val="nil"/>
              <w:left w:val="nil"/>
              <w:bottom w:val="nil"/>
              <w:right w:val="nil"/>
            </w:tcBorders>
            <w:shd w:val="clear"/>
            <w:vAlign w:val="top"/>
          </w:tcPr>
          <w:p w14:paraId="2D1CC8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3</w:t>
            </w:r>
          </w:p>
        </w:tc>
        <w:tc>
          <w:tcPr>
            <w:tcW w:w="952" w:type="dxa"/>
            <w:tcBorders>
              <w:top w:val="nil"/>
              <w:left w:val="nil"/>
              <w:bottom w:val="nil"/>
              <w:right w:val="nil"/>
            </w:tcBorders>
            <w:shd w:val="clear"/>
            <w:vAlign w:val="top"/>
          </w:tcPr>
          <w:p w14:paraId="50E1EE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Day3</w:t>
            </w:r>
          </w:p>
        </w:tc>
        <w:tc>
          <w:tcPr>
            <w:tcW w:w="3032" w:type="dxa"/>
            <w:tcBorders>
              <w:top w:val="nil"/>
              <w:left w:val="nil"/>
              <w:bottom w:val="nil"/>
              <w:right w:val="nil"/>
            </w:tcBorders>
            <w:shd w:val="clear"/>
            <w:vAlign w:val="top"/>
          </w:tcPr>
          <w:p w14:paraId="4B45CD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复试小组面试</w:t>
            </w:r>
          </w:p>
        </w:tc>
        <w:tc>
          <w:tcPr>
            <w:tcW w:w="988" w:type="dxa"/>
            <w:tcBorders>
              <w:top w:val="nil"/>
              <w:left w:val="nil"/>
              <w:bottom w:val="nil"/>
              <w:right w:val="nil"/>
            </w:tcBorders>
            <w:shd w:val="clear"/>
            <w:vAlign w:val="top"/>
          </w:tcPr>
          <w:p w14:paraId="3C8805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所办公楼会议室</w:t>
            </w:r>
          </w:p>
        </w:tc>
        <w:tc>
          <w:tcPr>
            <w:tcW w:w="1711" w:type="dxa"/>
            <w:vMerge w:val="continue"/>
            <w:tcBorders>
              <w:top w:val="nil"/>
              <w:left w:val="nil"/>
              <w:bottom w:val="nil"/>
              <w:right w:val="nil"/>
            </w:tcBorders>
            <w:shd w:val="clear"/>
            <w:vAlign w:val="top"/>
          </w:tcPr>
          <w:p w14:paraId="6F148F03">
            <w:pPr>
              <w:keepNext w:val="0"/>
              <w:keepLines w:val="0"/>
              <w:pageBreakBefore w:val="0"/>
              <w:widowControl/>
              <w:kinsoku/>
              <w:wordWrap/>
              <w:overflowPunct/>
              <w:topLinePunct w:val="0"/>
              <w:autoSpaceDE/>
              <w:autoSpaceDN/>
              <w:bidi w:val="0"/>
              <w:adjustRightInd/>
              <w:snapToGrid/>
              <w:spacing w:line="240" w:lineRule="exact"/>
              <w:ind w:left="0" w:right="0"/>
              <w:jc w:val="left"/>
              <w:textAlignment w:val="auto"/>
              <w:rPr>
                <w:rFonts w:hint="eastAsia" w:ascii="微软雅黑" w:hAnsi="微软雅黑" w:eastAsia="微软雅黑" w:cs="微软雅黑"/>
                <w:sz w:val="21"/>
                <w:szCs w:val="21"/>
                <w:u w:val="none"/>
              </w:rPr>
            </w:pPr>
          </w:p>
        </w:tc>
        <w:tc>
          <w:tcPr>
            <w:tcW w:w="1009" w:type="dxa"/>
            <w:tcBorders>
              <w:top w:val="nil"/>
              <w:left w:val="nil"/>
              <w:bottom w:val="nil"/>
              <w:right w:val="nil"/>
            </w:tcBorders>
            <w:shd w:val="clear"/>
            <w:vAlign w:val="top"/>
          </w:tcPr>
          <w:p w14:paraId="63EC6A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p>
        </w:tc>
      </w:tr>
      <w:tr w14:paraId="24AC8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786" w:type="dxa"/>
            <w:tcBorders>
              <w:top w:val="nil"/>
              <w:left w:val="nil"/>
              <w:bottom w:val="nil"/>
              <w:right w:val="nil"/>
            </w:tcBorders>
            <w:shd w:val="clear"/>
            <w:vAlign w:val="top"/>
          </w:tcPr>
          <w:p w14:paraId="744733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4</w:t>
            </w:r>
          </w:p>
        </w:tc>
        <w:tc>
          <w:tcPr>
            <w:tcW w:w="952" w:type="dxa"/>
            <w:tcBorders>
              <w:top w:val="nil"/>
              <w:left w:val="nil"/>
              <w:bottom w:val="nil"/>
              <w:right w:val="nil"/>
            </w:tcBorders>
            <w:shd w:val="clear"/>
            <w:vAlign w:val="top"/>
          </w:tcPr>
          <w:p w14:paraId="216EAF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Day4</w:t>
            </w:r>
            <w:r>
              <w:rPr>
                <w:rFonts w:hint="eastAsia" w:ascii="微软雅黑" w:hAnsi="微软雅黑" w:eastAsia="微软雅黑" w:cs="微软雅黑"/>
                <w:sz w:val="21"/>
                <w:szCs w:val="21"/>
                <w:u w:val="none"/>
                <w:bdr w:val="none" w:color="auto" w:sz="0" w:space="0"/>
              </w:rPr>
              <w:t>后</w:t>
            </w:r>
          </w:p>
        </w:tc>
        <w:tc>
          <w:tcPr>
            <w:tcW w:w="3032" w:type="dxa"/>
            <w:tcBorders>
              <w:top w:val="nil"/>
              <w:left w:val="nil"/>
              <w:bottom w:val="nil"/>
              <w:right w:val="nil"/>
            </w:tcBorders>
            <w:shd w:val="clear"/>
            <w:vAlign w:val="top"/>
          </w:tcPr>
          <w:p w14:paraId="59598D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确定及上报复试结果</w:t>
            </w:r>
          </w:p>
        </w:tc>
        <w:tc>
          <w:tcPr>
            <w:tcW w:w="988" w:type="dxa"/>
            <w:tcBorders>
              <w:top w:val="nil"/>
              <w:left w:val="nil"/>
              <w:bottom w:val="nil"/>
              <w:right w:val="nil"/>
            </w:tcBorders>
            <w:shd w:val="clear"/>
            <w:vAlign w:val="top"/>
          </w:tcPr>
          <w:p w14:paraId="19B2EA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p>
        </w:tc>
        <w:tc>
          <w:tcPr>
            <w:tcW w:w="1711" w:type="dxa"/>
            <w:vMerge w:val="continue"/>
            <w:tcBorders>
              <w:top w:val="nil"/>
              <w:left w:val="nil"/>
              <w:bottom w:val="nil"/>
              <w:right w:val="nil"/>
            </w:tcBorders>
            <w:shd w:val="clear"/>
            <w:vAlign w:val="top"/>
          </w:tcPr>
          <w:p w14:paraId="2C08CE2F">
            <w:pPr>
              <w:keepNext w:val="0"/>
              <w:keepLines w:val="0"/>
              <w:pageBreakBefore w:val="0"/>
              <w:widowControl/>
              <w:kinsoku/>
              <w:wordWrap/>
              <w:overflowPunct/>
              <w:topLinePunct w:val="0"/>
              <w:autoSpaceDE/>
              <w:autoSpaceDN/>
              <w:bidi w:val="0"/>
              <w:adjustRightInd/>
              <w:snapToGrid/>
              <w:spacing w:line="240" w:lineRule="exact"/>
              <w:ind w:left="0" w:right="0"/>
              <w:jc w:val="left"/>
              <w:textAlignment w:val="auto"/>
              <w:rPr>
                <w:rFonts w:hint="eastAsia" w:ascii="微软雅黑" w:hAnsi="微软雅黑" w:eastAsia="微软雅黑" w:cs="微软雅黑"/>
                <w:sz w:val="21"/>
                <w:szCs w:val="21"/>
                <w:u w:val="none"/>
              </w:rPr>
            </w:pPr>
          </w:p>
        </w:tc>
        <w:tc>
          <w:tcPr>
            <w:tcW w:w="1009" w:type="dxa"/>
            <w:tcBorders>
              <w:top w:val="nil"/>
              <w:left w:val="nil"/>
              <w:bottom w:val="nil"/>
              <w:right w:val="nil"/>
            </w:tcBorders>
            <w:shd w:val="clear"/>
            <w:vAlign w:val="top"/>
          </w:tcPr>
          <w:p w14:paraId="3D148C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微软雅黑" w:hAnsi="微软雅黑" w:eastAsia="微软雅黑" w:cs="微软雅黑"/>
                <w:sz w:val="21"/>
                <w:szCs w:val="21"/>
                <w:u w:val="none"/>
              </w:rPr>
            </w:pPr>
          </w:p>
        </w:tc>
      </w:tr>
    </w:tbl>
    <w:p w14:paraId="316037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附件2</w:t>
      </w:r>
    </w:p>
    <w:p w14:paraId="5006C6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诚信复试承诺书</w:t>
      </w:r>
    </w:p>
    <w:p w14:paraId="3B4054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15"/>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本人自愿参加中国工程物理研究院（以下简称中物院）招收2026年级推免研究生复试。本人已熟知《国家教育考试违规处理办法》《“两高”关于办理组织考试作弊等刑事案件适用法律若干问题的解释》，为保证复试的严肃性、公平性、公正性，保障自身合法权益，本人慎重承诺。</w:t>
      </w:r>
    </w:p>
    <w:p w14:paraId="11974C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1.真实、准确地提供本人个人信息，所提交的材料真实有效。如有错误信息或弄虚作假行为，本人承担由此造成的一切后果。</w:t>
      </w:r>
    </w:p>
    <w:p w14:paraId="590F09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2.认真履行考生义务，遵守考试规则，服从招生部门的统一组织安排，接受工作人员的检查、监督和管理。</w:t>
      </w:r>
    </w:p>
    <w:p w14:paraId="46892D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3.不舞弊、不协助他人舞弊，不找人替考或替他人考试。</w:t>
      </w:r>
    </w:p>
    <w:p w14:paraId="48D621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4.考试过程中不违规操作，不对考试过程录音、录像或截屏，不向外传播扩散考试内容。</w:t>
      </w:r>
    </w:p>
    <w:p w14:paraId="6069AE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5.对违反以上承诺所造成的后果，本人自愿承担相应责任。如有违规、违纪行为，自愿接受中物院根据国家有关规定所作出的处罚。如有违法行为，自愿接受国家相关法律法规的惩处。</w:t>
      </w:r>
    </w:p>
    <w:p w14:paraId="5019AE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righ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承诺人：           </w:t>
      </w:r>
    </w:p>
    <w:p w14:paraId="20C5BF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2348"/>
        <w:jc w:val="righ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签订日期：            </w:t>
      </w:r>
      <w:bookmarkStart w:id="0" w:name="_GoBack"/>
      <w:bookmarkEnd w:id="0"/>
    </w:p>
    <w:p w14:paraId="082335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附件3：</w:t>
      </w:r>
    </w:p>
    <w:p w14:paraId="2EA354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中物院直博生提交专家推荐信流程</w:t>
      </w:r>
    </w:p>
    <w:p w14:paraId="5830F5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流程如下：</w:t>
      </w:r>
    </w:p>
    <w:p w14:paraId="75A699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考生登录中物院报考服务系统（网址：</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spacing w:val="0"/>
          <w:sz w:val="21"/>
          <w:szCs w:val="21"/>
          <w:u w:val="none"/>
          <w:bdr w:val="none" w:color="auto" w:sz="0" w:space="0"/>
          <w:shd w:val="clear" w:fill="FFFFFF"/>
        </w:rPr>
        <w:instrText xml:space="preserve"> HYPERLINK "https://gsas.gscaep.ac.cn/" </w:instrTex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separate"/>
      </w:r>
      <w:r>
        <w:rPr>
          <w:rStyle w:val="6"/>
          <w:rFonts w:hint="eastAsia" w:ascii="微软雅黑" w:hAnsi="微软雅黑" w:eastAsia="微软雅黑" w:cs="微软雅黑"/>
          <w:i w:val="0"/>
          <w:iCs w:val="0"/>
          <w:caps w:val="0"/>
          <w:color w:val="548DD4"/>
          <w:spacing w:val="0"/>
          <w:sz w:val="21"/>
          <w:szCs w:val="21"/>
          <w:u w:val="none"/>
          <w:bdr w:val="none" w:color="auto" w:sz="0" w:space="0"/>
          <w:shd w:val="clear" w:fill="FFFFFF"/>
        </w:rPr>
        <w:t>https://gsas.gscaep.ac.cn</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end"/>
      </w:r>
      <w:r>
        <w:rPr>
          <w:rFonts w:hint="eastAsia" w:ascii="微软雅黑" w:hAnsi="微软雅黑" w:eastAsia="微软雅黑" w:cs="微软雅黑"/>
          <w:i w:val="0"/>
          <w:iCs w:val="0"/>
          <w:caps w:val="0"/>
          <w:color w:val="548DD4"/>
          <w:spacing w:val="0"/>
          <w:sz w:val="21"/>
          <w:szCs w:val="21"/>
          <w:u w:val="none"/>
          <w:bdr w:val="none" w:color="auto" w:sz="0" w:space="0"/>
          <w:shd w:val="clear" w:fill="FFFFFF"/>
        </w:rPr>
        <w:t>）</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，账号为报名号（具体见中国工程物理研究院研究生院招生信息网“博士招生-信息公开”模块公示），密码为身份证号后六位（最后一位若为X请大写）。</w:t>
      </w:r>
    </w:p>
    <w:p w14:paraId="6B17F4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考生选择“发送专家推荐信”模块，填写推荐专家联系信息（专家电子邮箱不建议用新浪邮箱），系统将自动发送邀请邮件至推荐专家邮箱，由专家本人在链接内填写推荐内容并在线提交。</w:t>
      </w:r>
    </w:p>
    <w:p w14:paraId="06AF2E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考生可在“状态”栏可以查看邀请邮件发送情况；考生可在“推荐信提交状态”查看专家提交推荐信状态。</w:t>
      </w:r>
    </w:p>
    <w:p w14:paraId="091047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p>
    <w:p w14:paraId="1197B4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p>
    <w:p w14:paraId="307C0B02">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微软雅黑" w:hAnsi="微软雅黑" w:eastAsia="微软雅黑" w:cs="微软雅黑"/>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libaba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365764"/>
    <w:rsid w:val="10365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2026-07-16T07:21:00Z</dcterms:created>
  <dc:creator>暖心小王子</dc:creator>
  <cp:lastModifiedBy>暖心小王子</cp:lastModifiedBy>
  <dcterms:modified xsi:type="dcterms:W3CDTF">2026-07-16T07:23:31Z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D83DE4EF76A74E69B6FB8F47B84D057E_11</vt:lpwstr>
  </property>
  <property fmtid="{D5CDD505-2E9C-101B-9397-08002B2CF9AE}" pid="4" name="KSOTemplateDocerSaveRecord">
    <vt:lpwstr>eyJoZGlkIjoiOTc3M2Y5NzIzMDFlZjAyY2Q4Njk5ODkyYjFjNzBiNTQiLCJ1c2VySWQiOiIyNTY2OTU1NzAifQ==</vt:lpwstr>
  </property>
</Properties>
</file>