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FB1B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color w:val="333333"/>
          <w:sz w:val="21"/>
          <w:szCs w:val="21"/>
        </w:rPr>
      </w:pPr>
      <w:r>
        <w:rPr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历史学系关于推荐免试攻读研究生资格认定的学业评价办法</w:t>
      </w:r>
    </w:p>
    <w:p w14:paraId="3F1043E1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Autospacing="0" w:afterAutospacing="0" w:line="240" w:lineRule="auto"/>
        <w:ind w:left="0" w:right="0" w:firstLine="0"/>
        <w:jc w:val="center"/>
        <w:textAlignment w:val="auto"/>
        <w:rPr>
          <w:rFonts w:ascii="微软雅黑" w:hAnsi="微软雅黑" w:eastAsia="微软雅黑" w:cs="微软雅黑"/>
          <w:i w:val="0"/>
          <w:iCs w:val="0"/>
          <w:caps w:val="0"/>
          <w:color w:val="595757"/>
          <w:spacing w:val="0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999999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时间:2025-09-30</w:t>
      </w:r>
    </w:p>
    <w:p w14:paraId="2E7033E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left="0" w:right="0" w:firstLine="420"/>
        <w:jc w:val="center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历史学系关于推荐免试攻读研究生资格认定的学业评价办法</w:t>
      </w:r>
    </w:p>
    <w:p w14:paraId="129ADC3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left="0" w:right="0" w:firstLine="420"/>
        <w:jc w:val="center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（自2025级本科生开始适用）</w:t>
      </w:r>
    </w:p>
    <w:p w14:paraId="265A078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left="0" w:right="0" w:firstLine="30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21"/>
          <w:szCs w:val="21"/>
          <w:bdr w:val="none" w:color="auto" w:sz="0" w:space="0"/>
        </w:rPr>
        <w:t>历史学系本科生需要获取推荐免试攻读研究生资格时，按照以下原则进行学业评价：</w:t>
      </w:r>
    </w:p>
    <w:p w14:paraId="7AA7589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left="0" w:right="0" w:firstLine="30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一、 符合《北京大学关于推荐优秀本科毕业生免试攻读研究生的办法（校本部）》中的相关规定；</w:t>
      </w:r>
    </w:p>
    <w:p w14:paraId="0BF3F6B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left="0" w:right="0" w:firstLine="30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二、 思想政治理论必修课应完成《北京大学本科生思想政治理论必修课培养方案》的要求，即修完全部思政必修课，且平均成绩不低于70分；</w:t>
      </w:r>
    </w:p>
    <w:p w14:paraId="73FAB44C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left="0" w:right="0" w:firstLine="30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三、 已修专业必修课学分（不含毕业论文）应达本系本专业培养方案规定的80%及以上（外国语言与外国历史专业可酌情降低），总学分数应达到培养方案（不含毕业论文）规定的80%及以上；</w:t>
      </w:r>
    </w:p>
    <w:p w14:paraId="0BA42B4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left="0" w:right="0" w:firstLine="30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四、已完成学年论文并取得不低于80分的成绩；</w:t>
      </w:r>
    </w:p>
    <w:p w14:paraId="4F106CB1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left="0" w:right="0" w:firstLine="30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五、必修课有不及格的，或不及格学分累计达到10学分及以上的，或有任何违法违纪受处分记录的，不予推荐；</w:t>
      </w:r>
    </w:p>
    <w:p w14:paraId="18DB1249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left="0" w:right="0" w:firstLine="30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六、如果申请推免资格人数大于可推荐名额，则按照如下标准排名，择优推荐。</w:t>
      </w:r>
    </w:p>
    <w:p w14:paraId="2A6921A0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left="0" w:right="0" w:firstLine="30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学业成绩是推免资格认定与筛选的重要依据，现以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综合平均成绩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为学业衡量标准。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综合平均成绩由纳入统计范围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  <w:vertAlign w:val="superscript"/>
        </w:rPr>
        <w:t>*</w:t>
      </w:r>
      <w:r>
        <w:rPr>
          <w:rStyle w:val="6"/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的课程成绩经过学分加权平均计算得出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。该分值仅用于审核推免资格场合必要时的排序，学生的学业表现仍以整个成绩单完整呈现。</w:t>
      </w:r>
    </w:p>
    <w:p w14:paraId="0CF44D5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left="0" w:right="0" w:firstLine="30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*综合平均成绩的统计范围：</w:t>
      </w:r>
    </w:p>
    <w:p w14:paraId="18FA7E35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left="0" w:right="0" w:firstLine="30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1.专业必修课（包含中国近代史）+专业选修课。其中专业选修课允许自主选择1门课不纳入计算。</w:t>
      </w:r>
    </w:p>
    <w:p w14:paraId="26C4C4F4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left="0" w:right="0" w:firstLine="30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2.非专业类课程（英语、计算机、通识教育课、自主选修课、双专业课纳入成绩计算；军理、体育类不纳入成绩计算，但需达到70分以上），由学生选择其中26学分的课程纳入计算。</w:t>
      </w:r>
    </w:p>
    <w:p w14:paraId="1976686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left="0" w:right="0" w:firstLine="30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000000"/>
          <w:spacing w:val="0"/>
          <w:sz w:val="21"/>
          <w:szCs w:val="21"/>
          <w:bdr w:val="none" w:color="auto" w:sz="0" w:space="0"/>
        </w:rPr>
        <w:t>*如遇到以等级制评定的课程，需换算为百分制，对应标准如下：</w:t>
      </w:r>
    </w:p>
    <w:tbl>
      <w:tblPr>
        <w:tblW w:w="49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23"/>
        <w:gridCol w:w="2565"/>
      </w:tblGrid>
      <w:tr w14:paraId="45B54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  <w:jc w:val="center"/>
        </w:trPr>
        <w:tc>
          <w:tcPr>
            <w:tcW w:w="510" w:type="dxa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C6981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A+</w:t>
            </w:r>
          </w:p>
        </w:tc>
        <w:tc>
          <w:tcPr>
            <w:tcW w:w="540" w:type="dxa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EC86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97</w:t>
            </w:r>
          </w:p>
        </w:tc>
      </w:tr>
      <w:tr w14:paraId="5EE28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  <w:jc w:val="center"/>
        </w:trPr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2921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</w:t>
            </w:r>
          </w:p>
        </w:tc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6FC4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95</w:t>
            </w:r>
          </w:p>
        </w:tc>
      </w:tr>
      <w:tr w14:paraId="4DE05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  <w:jc w:val="center"/>
        </w:trPr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2FB8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A-</w:t>
            </w:r>
          </w:p>
        </w:tc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F96A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90</w:t>
            </w:r>
          </w:p>
        </w:tc>
      </w:tr>
      <w:tr w14:paraId="40D60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  <w:jc w:val="center"/>
        </w:trPr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F55C4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B+</w:t>
            </w:r>
          </w:p>
        </w:tc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D55F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85</w:t>
            </w:r>
          </w:p>
        </w:tc>
      </w:tr>
      <w:tr w14:paraId="51BC76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  <w:jc w:val="center"/>
        </w:trPr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EFD7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B</w:t>
            </w:r>
          </w:p>
        </w:tc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9BB8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80</w:t>
            </w:r>
          </w:p>
        </w:tc>
      </w:tr>
      <w:tr w14:paraId="0961B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  <w:jc w:val="center"/>
        </w:trPr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342D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B-</w:t>
            </w:r>
          </w:p>
        </w:tc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345B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77</w:t>
            </w:r>
          </w:p>
        </w:tc>
      </w:tr>
      <w:tr w14:paraId="737A0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  <w:jc w:val="center"/>
        </w:trPr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14A13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C+</w:t>
            </w:r>
          </w:p>
        </w:tc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487D2B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73</w:t>
            </w:r>
          </w:p>
        </w:tc>
      </w:tr>
      <w:tr w14:paraId="08F16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  <w:jc w:val="center"/>
        </w:trPr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715B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</w:t>
            </w:r>
          </w:p>
        </w:tc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729B16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70</w:t>
            </w:r>
          </w:p>
        </w:tc>
      </w:tr>
      <w:tr w14:paraId="6494E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  <w:jc w:val="center"/>
        </w:trPr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014B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C-</w:t>
            </w:r>
          </w:p>
        </w:tc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60E2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67</w:t>
            </w:r>
          </w:p>
        </w:tc>
      </w:tr>
      <w:tr w14:paraId="04BF7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  <w:jc w:val="center"/>
        </w:trPr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733BB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D+</w:t>
            </w:r>
          </w:p>
        </w:tc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35AD4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63</w:t>
            </w:r>
          </w:p>
        </w:tc>
      </w:tr>
      <w:tr w14:paraId="5AE10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  <w:jc w:val="center"/>
        </w:trPr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495F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D</w:t>
            </w:r>
          </w:p>
        </w:tc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20B94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60</w:t>
            </w:r>
          </w:p>
        </w:tc>
      </w:tr>
      <w:tr w14:paraId="62F07B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  <w:jc w:val="center"/>
        </w:trPr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3F4073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F</w:t>
            </w:r>
          </w:p>
        </w:tc>
        <w:tc>
          <w:tcPr>
            <w:tcW w:w="0" w:type="auto"/>
            <w:shd w:val="clear"/>
            <w:tcMar>
              <w:top w:w="15" w:type="dxa"/>
              <w:left w:w="23" w:type="dxa"/>
              <w:bottom w:w="15" w:type="dxa"/>
              <w:right w:w="23" w:type="dxa"/>
            </w:tcMar>
            <w:vAlign w:val="center"/>
          </w:tcPr>
          <w:p w14:paraId="6CC3A5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/>
              <w:spacing w:beforeAutospacing="0" w:afterAutospacing="0" w:line="240" w:lineRule="auto"/>
              <w:ind w:left="0" w:right="0"/>
              <w:jc w:val="center"/>
              <w:textAlignment w:val="auto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bdr w:val="none" w:color="auto" w:sz="0" w:space="0"/>
                <w:lang w:val="en-US" w:eastAsia="zh-CN" w:bidi="ar"/>
              </w:rPr>
              <w:t>50</w:t>
            </w:r>
          </w:p>
        </w:tc>
      </w:tr>
    </w:tbl>
    <w:p w14:paraId="1C3785AD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/>
        <w:spacing w:before="0" w:beforeAutospacing="0" w:after="0" w:afterAutospacing="0" w:line="240" w:lineRule="auto"/>
        <w:ind w:left="0" w:right="0" w:firstLine="420"/>
        <w:textAlignment w:val="auto"/>
        <w:rPr>
          <w:rFonts w:hint="eastAsia" w:ascii="微软雅黑" w:hAnsi="微软雅黑" w:eastAsia="微软雅黑" w:cs="微软雅黑"/>
          <w:color w:val="333333"/>
          <w:sz w:val="21"/>
          <w:szCs w:val="21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F596330"/>
    <w:rsid w:val="0F59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2026-07-17T02:44:00Z</dcterms:created>
  <dc:creator>暖心小王子</dc:creator>
  <cp:lastModifiedBy>暖心小王子</cp:lastModifiedBy>
  <dcterms:modified xsi:type="dcterms:W3CDTF">2026-07-17T02:45:14Z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3965556715F24598AC5B38547914EAB4_11</vt:lpwstr>
  </property>
  <property fmtid="{D5CDD505-2E9C-101B-9397-08002B2CF9AE}" pid="4" name="KSOTemplateDocerSaveRecord">
    <vt:lpwstr>eyJoZGlkIjoiOTc3M2Y5NzIzMDFlZjAyY2Q4Njk5ODkyYjFjNzBiNTQiLCJ1c2VySWQiOiIyNTY2OTU1NzAifQ==</vt:lpwstr>
  </property>
</Properties>
</file>