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lineRule="auto" w:line="312"/>
        <w:jc w:val="center"/>
      </w:pPr>
      <w:r>
        <w:rPr>
          <w:rFonts w:ascii="Times New Roman" w:hAnsi="Times New Roman" w:eastAsia="黑体"/>
          <w:b/>
          <w:sz w:val="30"/>
        </w:rPr>
        <w:t>国际计量互认协议名单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到2019年2月8日，CIPM MRA已经有来自59个国际计量局成员国，42个国际计量大会附属成员和4个国际组织的共105个研究机构代表签署，并涵盖了155个签署成员的指定机构（DI）。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国际计量局成员国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阿根廷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澳大利亚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奥地利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比利时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巴西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保加利亚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加拿大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智利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中国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哥伦比亚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克罗地亚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捷克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丹麦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埃及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芬兰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法国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德国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希腊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匈牙利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印度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印度尼西亚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伊朗（伊斯兰共和国）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伊拉克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爱尔兰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以色列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意大利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日本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哈萨克斯坦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肯尼亚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韩国（共和国）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立陶宛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马来西亚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墨西哥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黑山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荷兰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新西兰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挪威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巴基斯坦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波兰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葡萄牙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罗马尼亚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俄罗斯联邦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沙特阿拉伯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塞尔维亚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新加坡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斯洛伐克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斯洛文尼亚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南非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西班牙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瑞典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瑞士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泰国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突尼斯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土耳其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乌克兰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阿拉伯联合酋长国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英国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美国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乌拉圭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国际计量大会附属成员国/经济体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阿尔巴尼亚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阿塞拜疆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孟加拉国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白俄罗斯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玻利维亚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波斯尼亚和黑塞哥维那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博茨瓦纳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加勒比共同体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中华台北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哥斯达黎加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古巴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厄瓜多尔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爱沙尼亚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埃塞俄比亚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格鲁吉亚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加纳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香港（中国）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牙买加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科威特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拉脱维亚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卢森堡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马耳他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毛里求斯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摩尔多瓦（共和国）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蒙古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纳米比亚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北马其顿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阿曼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巴拿马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巴拉圭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秘鲁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菲律宾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卡塔尔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塞舌尔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斯里兰卡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苏丹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阿拉伯叙利亚共和国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坦桑尼亚（联合共和国）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乌兹别克斯坦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越南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赞比亚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津巴布韦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国际组织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IAEA：国际原子能机构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JRC：联合研究中心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WMO：世界气象组织</w:t>
      </w:r>
    </w:p>
    <w:p>
      <w:pPr>
        <w:spacing w:after="80" w:lineRule="auto" w:line="312"/>
        <w:ind w:firstLine="440"/>
      </w:pPr>
      <w:r>
        <w:rPr>
          <w:rFonts w:ascii="Times New Roman" w:hAnsi="Times New Roman" w:eastAsia="宋体"/>
          <w:b w:val="0"/>
          <w:sz w:val="22"/>
        </w:rPr>
        <w:t>ESA：欧洲航天局</w:t>
      </w:r>
    </w:p>
    <w:p/>
    <w:p>
      <w:pPr>
        <w:spacing w:after="0" w:lineRule="auto" w:line="312"/>
      </w:pPr>
      <w:r>
        <w:rPr>
          <w:rFonts w:ascii="Times New Roman" w:hAnsi="Times New Roman" w:eastAsia="楷体"/>
          <w:b w:val="0"/>
          <w:color w:val="999999"/>
          <w:sz w:val="18"/>
        </w:rPr>
        <w:t>——本文档由采集到的院校官网网页正文整理恢复（HTML 转 Word），原下载文件为网页伪 PDF，无法直接阅读。名单与内容以院校官网正式发布为准。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