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40" w:lineRule="auto" w:line="360"/>
        <w:jc w:val="center"/>
      </w:pPr>
      <w:r>
        <w:rPr>
          <w:rFonts w:ascii="Times New Roman" w:hAnsi="Times New Roman" w:eastAsia="宋体"/>
          <w:b/>
          <w:sz w:val="32"/>
        </w:rPr>
        <w:t>文学院推荐2026届优秀本科毕业生免试攻读研究生工作方案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文学院推荐2026届优秀本科毕业生免试攻读研究生工作方案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发布日期（推定）：2025年9月6日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一、推免生遴选工作小组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317"/>
        <w:gridCol w:w="4317"/>
      </w:tblGrid>
      <w:tr>
        <w:tc>
          <w:tcPr>
            <w:tcW w:type="dxa" w:w="43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/>
                <w:sz w:val="21"/>
              </w:rPr>
              <w:t>职务</w:t>
            </w:r>
          </w:p>
        </w:tc>
        <w:tc>
          <w:tcPr>
            <w:tcW w:type="dxa" w:w="43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/>
                <w:sz w:val="21"/>
              </w:rPr>
              <w:t>姓名</w:t>
            </w:r>
          </w:p>
        </w:tc>
      </w:tr>
      <w:tr>
        <w:tc>
          <w:tcPr>
            <w:tcW w:type="dxa" w:w="43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组长</w:t>
            </w:r>
          </w:p>
        </w:tc>
        <w:tc>
          <w:tcPr>
            <w:tcW w:type="dxa" w:w="43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胡晓燕、张鹏飞</w:t>
            </w:r>
          </w:p>
        </w:tc>
      </w:tr>
      <w:tr>
        <w:tc>
          <w:tcPr>
            <w:tcW w:type="dxa" w:w="43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副组长</w:t>
            </w:r>
          </w:p>
        </w:tc>
        <w:tc>
          <w:tcPr>
            <w:tcW w:type="dxa" w:w="43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彭安湘、余澜</w:t>
            </w:r>
          </w:p>
        </w:tc>
      </w:tr>
      <w:tr>
        <w:tc>
          <w:tcPr>
            <w:tcW w:type="dxa" w:w="43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小组成员</w:t>
            </w:r>
          </w:p>
        </w:tc>
        <w:tc>
          <w:tcPr>
            <w:tcW w:type="dxa" w:w="431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刘继林、钟春敏、王星、王光和、张琦、卢晶晶、朱丽师、邓雅、李晓、樊丽敏</w:t>
            </w:r>
          </w:p>
        </w:tc>
      </w:tr>
    </w:tbl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二、本院推免生申请资格条件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1. 申请A类免试研究生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（1）全日制在籍应届优秀本科毕业生；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（2）具有高尚的爱国主义情操和集体主义精神，社会主义信念坚定，社会责任感强，积极向上，身心健康；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（3）勤奋学习，刻苦钻研，基础扎实，修完培养方案所规定的前三学年课程且成绩优秀。除特殊政策要求的专项计划外，申请A类免试攻读研究生的学生，同年级同专业[汉语言文学（国家基地班）、汉语言文学（师范）、汉语国际教育、编辑出版学]可比较性的前三学年加权平均成绩排名不低于50%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（4）专业志向远大，有较强的创新意识和创新能力；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（5）诚实守信，学风端正，无违法违纪、考试作弊和其他不端行为；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（6）品行表现优良，无违规违纪处分记录。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2. 申请C类免试攻读研究生者按照团中央文件执行，见校团委通知。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三、推荐原则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学生综合成绩计算包括学业成绩和素质成绩两项，综合成绩实行百分制。为细化成绩标准，特制定以下原则：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1. 学院核准学业成绩组成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学业成绩包括通识教育必修课程和专业课程成绩。通识教育必修课程的认定请依据专业培养方案。通识教育必修课程只要求考核成绩在合格以上，前三学年专业课程平均学分绩作为计算学业成绩的基础性指标，专业课程平均学分绩计算通识教育课程（含通识教育平台课程、军事训练、劳动教育）之外的所有课程。学业成绩结果保留至小数点后两位，四舍五入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2. 素质成绩评议细则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（1）竞赛获奖类（本类别总上限20分，权重35%）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863"/>
        <w:gridCol w:w="863"/>
        <w:gridCol w:w="863"/>
        <w:gridCol w:w="863"/>
        <w:gridCol w:w="863"/>
        <w:gridCol w:w="863"/>
        <w:gridCol w:w="863"/>
        <w:gridCol w:w="863"/>
        <w:gridCol w:w="863"/>
        <w:gridCol w:w="863"/>
      </w:tblGrid>
      <w:tr>
        <w:tc>
          <w:tcPr>
            <w:tcW w:type="dxa" w:w="863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/>
                <w:sz w:val="21"/>
              </w:rPr>
              <w:t>赛事类别</w:t>
            </w:r>
          </w:p>
        </w:tc>
        <w:tc>
          <w:tcPr>
            <w:tcW w:type="dxa" w:w="863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/>
                <w:sz w:val="21"/>
              </w:rPr>
              <w:t>国家级特等奖</w:t>
            </w:r>
          </w:p>
        </w:tc>
        <w:tc>
          <w:tcPr>
            <w:tcW w:type="dxa" w:w="863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/>
                <w:sz w:val="21"/>
              </w:rPr>
              <w:t>国家级一等奖</w:t>
            </w:r>
          </w:p>
        </w:tc>
        <w:tc>
          <w:tcPr>
            <w:tcW w:type="dxa" w:w="863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/>
                <w:sz w:val="21"/>
              </w:rPr>
              <w:t>国家级二等奖</w:t>
            </w:r>
          </w:p>
        </w:tc>
        <w:tc>
          <w:tcPr>
            <w:tcW w:type="dxa" w:w="863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/>
                <w:sz w:val="21"/>
              </w:rPr>
              <w:t>国家级三等奖</w:t>
            </w:r>
          </w:p>
        </w:tc>
        <w:tc>
          <w:tcPr>
            <w:tcW w:type="dxa" w:w="863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/>
                <w:sz w:val="21"/>
              </w:rPr>
              <w:t>省级特等奖</w:t>
            </w:r>
          </w:p>
        </w:tc>
        <w:tc>
          <w:tcPr>
            <w:tcW w:type="dxa" w:w="863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/>
                <w:sz w:val="21"/>
              </w:rPr>
              <w:t>省级一等奖</w:t>
            </w:r>
          </w:p>
        </w:tc>
        <w:tc>
          <w:tcPr>
            <w:tcW w:type="dxa" w:w="863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/>
                <w:sz w:val="21"/>
              </w:rPr>
              <w:t>省级二等奖</w:t>
            </w:r>
          </w:p>
        </w:tc>
        <w:tc>
          <w:tcPr>
            <w:tcW w:type="dxa" w:w="863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/>
                <w:sz w:val="21"/>
              </w:rPr>
              <w:t>省级三等奖</w:t>
            </w:r>
          </w:p>
        </w:tc>
        <w:tc>
          <w:tcPr>
            <w:tcW w:type="dxa" w:w="863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/>
                <w:sz w:val="21"/>
              </w:rPr>
              <w:t>核验方式</w:t>
            </w:r>
          </w:p>
        </w:tc>
      </w:tr>
      <w:tr>
        <w:tc>
          <w:tcPr>
            <w:tcW w:type="dxa" w:w="863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A1类</w:t>
            </w:r>
          </w:p>
        </w:tc>
        <w:tc>
          <w:tcPr>
            <w:tcW w:type="dxa" w:w="863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20</w:t>
            </w:r>
          </w:p>
        </w:tc>
        <w:tc>
          <w:tcPr>
            <w:tcW w:type="dxa" w:w="863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15</w:t>
            </w:r>
          </w:p>
        </w:tc>
        <w:tc>
          <w:tcPr>
            <w:tcW w:type="dxa" w:w="863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12</w:t>
            </w:r>
          </w:p>
        </w:tc>
        <w:tc>
          <w:tcPr>
            <w:tcW w:type="dxa" w:w="863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8</w:t>
            </w:r>
          </w:p>
        </w:tc>
        <w:tc>
          <w:tcPr>
            <w:tcW w:type="dxa" w:w="863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12</w:t>
            </w:r>
          </w:p>
        </w:tc>
        <w:tc>
          <w:tcPr>
            <w:tcW w:type="dxa" w:w="863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10</w:t>
            </w:r>
          </w:p>
        </w:tc>
        <w:tc>
          <w:tcPr>
            <w:tcW w:type="dxa" w:w="863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8</w:t>
            </w:r>
          </w:p>
        </w:tc>
        <w:tc>
          <w:tcPr>
            <w:tcW w:type="dxa" w:w="863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6</w:t>
            </w:r>
          </w:p>
        </w:tc>
        <w:tc>
          <w:tcPr>
            <w:tcW w:type="dxa" w:w="863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荣誉证书</w:t>
            </w:r>
          </w:p>
        </w:tc>
      </w:tr>
      <w:tr>
        <w:tc>
          <w:tcPr>
            <w:tcW w:type="dxa" w:w="863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A2类</w:t>
            </w:r>
          </w:p>
        </w:tc>
        <w:tc>
          <w:tcPr>
            <w:tcW w:type="dxa" w:w="863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15</w:t>
            </w:r>
          </w:p>
        </w:tc>
        <w:tc>
          <w:tcPr>
            <w:tcW w:type="dxa" w:w="863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10</w:t>
            </w:r>
          </w:p>
        </w:tc>
        <w:tc>
          <w:tcPr>
            <w:tcW w:type="dxa" w:w="863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8</w:t>
            </w:r>
          </w:p>
        </w:tc>
        <w:tc>
          <w:tcPr>
            <w:tcW w:type="dxa" w:w="863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6</w:t>
            </w:r>
          </w:p>
        </w:tc>
        <w:tc>
          <w:tcPr>
            <w:tcW w:type="dxa" w:w="863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10</w:t>
            </w:r>
          </w:p>
        </w:tc>
        <w:tc>
          <w:tcPr>
            <w:tcW w:type="dxa" w:w="863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8</w:t>
            </w:r>
          </w:p>
        </w:tc>
        <w:tc>
          <w:tcPr>
            <w:tcW w:type="dxa" w:w="863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6</w:t>
            </w:r>
          </w:p>
        </w:tc>
        <w:tc>
          <w:tcPr>
            <w:tcW w:type="dxa" w:w="863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4</w:t>
            </w:r>
          </w:p>
        </w:tc>
        <w:tc>
          <w:tcPr>
            <w:tcW w:type="dxa" w:w="863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荣誉证书</w:t>
            </w:r>
          </w:p>
        </w:tc>
      </w:tr>
      <w:tr>
        <w:tc>
          <w:tcPr>
            <w:tcW w:type="dxa" w:w="863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B1类</w:t>
            </w:r>
          </w:p>
        </w:tc>
        <w:tc>
          <w:tcPr>
            <w:tcW w:type="dxa" w:w="863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10</w:t>
            </w:r>
          </w:p>
        </w:tc>
        <w:tc>
          <w:tcPr>
            <w:tcW w:type="dxa" w:w="863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8</w:t>
            </w:r>
          </w:p>
        </w:tc>
        <w:tc>
          <w:tcPr>
            <w:tcW w:type="dxa" w:w="863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6</w:t>
            </w:r>
          </w:p>
        </w:tc>
        <w:tc>
          <w:tcPr>
            <w:tcW w:type="dxa" w:w="863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4</w:t>
            </w:r>
          </w:p>
        </w:tc>
        <w:tc>
          <w:tcPr>
            <w:tcW w:type="dxa" w:w="863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8</w:t>
            </w:r>
          </w:p>
        </w:tc>
        <w:tc>
          <w:tcPr>
            <w:tcW w:type="dxa" w:w="863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6</w:t>
            </w:r>
          </w:p>
        </w:tc>
        <w:tc>
          <w:tcPr>
            <w:tcW w:type="dxa" w:w="863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4</w:t>
            </w:r>
          </w:p>
        </w:tc>
        <w:tc>
          <w:tcPr>
            <w:tcW w:type="dxa" w:w="863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</w:t>
            </w:r>
          </w:p>
        </w:tc>
        <w:tc>
          <w:tcPr>
            <w:tcW w:type="dxa" w:w="863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荣誉证书</w:t>
            </w:r>
          </w:p>
        </w:tc>
      </w:tr>
      <w:tr>
        <w:tc>
          <w:tcPr>
            <w:tcW w:type="dxa" w:w="863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B2类</w:t>
            </w:r>
          </w:p>
        </w:tc>
        <w:tc>
          <w:tcPr>
            <w:tcW w:type="dxa" w:w="863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8</w:t>
            </w:r>
          </w:p>
        </w:tc>
        <w:tc>
          <w:tcPr>
            <w:tcW w:type="dxa" w:w="863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6</w:t>
            </w:r>
          </w:p>
        </w:tc>
        <w:tc>
          <w:tcPr>
            <w:tcW w:type="dxa" w:w="863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4</w:t>
            </w:r>
          </w:p>
        </w:tc>
        <w:tc>
          <w:tcPr>
            <w:tcW w:type="dxa" w:w="863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</w:t>
            </w:r>
          </w:p>
        </w:tc>
        <w:tc>
          <w:tcPr>
            <w:tcW w:type="dxa" w:w="863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6</w:t>
            </w:r>
          </w:p>
        </w:tc>
        <w:tc>
          <w:tcPr>
            <w:tcW w:type="dxa" w:w="863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4</w:t>
            </w:r>
          </w:p>
        </w:tc>
        <w:tc>
          <w:tcPr>
            <w:tcW w:type="dxa" w:w="863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</w:t>
            </w:r>
          </w:p>
        </w:tc>
        <w:tc>
          <w:tcPr>
            <w:tcW w:type="dxa" w:w="863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</w:t>
            </w:r>
          </w:p>
        </w:tc>
        <w:tc>
          <w:tcPr>
            <w:tcW w:type="dxa" w:w="863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荣誉证书</w:t>
            </w:r>
          </w:p>
        </w:tc>
      </w:tr>
      <w:tr>
        <w:tc>
          <w:tcPr>
            <w:tcW w:type="dxa" w:w="863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C类</w:t>
            </w:r>
          </w:p>
        </w:tc>
        <w:tc>
          <w:tcPr>
            <w:tcW w:type="dxa" w:w="863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6</w:t>
            </w:r>
          </w:p>
        </w:tc>
        <w:tc>
          <w:tcPr>
            <w:tcW w:type="dxa" w:w="863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4</w:t>
            </w:r>
          </w:p>
        </w:tc>
        <w:tc>
          <w:tcPr>
            <w:tcW w:type="dxa" w:w="863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</w:t>
            </w:r>
          </w:p>
        </w:tc>
        <w:tc>
          <w:tcPr>
            <w:tcW w:type="dxa" w:w="863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</w:t>
            </w:r>
          </w:p>
        </w:tc>
        <w:tc>
          <w:tcPr>
            <w:tcW w:type="dxa" w:w="863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4</w:t>
            </w:r>
          </w:p>
        </w:tc>
        <w:tc>
          <w:tcPr>
            <w:tcW w:type="dxa" w:w="863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</w:t>
            </w:r>
          </w:p>
        </w:tc>
        <w:tc>
          <w:tcPr>
            <w:tcW w:type="dxa" w:w="863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</w:t>
            </w:r>
          </w:p>
        </w:tc>
        <w:tc>
          <w:tcPr>
            <w:tcW w:type="dxa" w:w="863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0.5</w:t>
            </w:r>
          </w:p>
        </w:tc>
        <w:tc>
          <w:tcPr>
            <w:tcW w:type="dxa" w:w="863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荣誉证书</w:t>
            </w:r>
          </w:p>
        </w:tc>
      </w:tr>
    </w:tbl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说明：该项加分赛事以最新版《湖北大学全日制普通本科生学科竞赛管理办法》中的名单和分类为依据。其中，C类赛事为在湖北大学全日制普通本科生学科A、B类赛事清单之外，学院认定的满足与本专业核心相关、能提供实践提升机会、由正规机构主办且具备评审及获奖证明的正式赛事。不同类别比赛获奖加分限3类。仅限第一排序人加分。同一比赛获多个级别奖励，加分取最高值，不累计加分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C类赛事包括全国大学生“樱花诗赛”、湖北省高校“福创杯”新青年小说大赛、湖北省高校“一二·九”诗歌散文竞赛、武汉国际楚才作文竞赛、编辑技能大赛、大学生新闻出版行业平面设计大赛、汉语国际教育教学技能大赛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（2）科研成果类（本类别总上限20分，权重35%）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1）发表学术论文（上限20分）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878"/>
        <w:gridCol w:w="2878"/>
        <w:gridCol w:w="2878"/>
      </w:tblGrid>
      <w:tr>
        <w:tc>
          <w:tcPr>
            <w:tcW w:type="dxa" w:w="287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/>
                <w:sz w:val="21"/>
              </w:rPr>
              <w:t>内容</w:t>
            </w:r>
          </w:p>
        </w:tc>
        <w:tc>
          <w:tcPr>
            <w:tcW w:type="dxa" w:w="287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/>
                <w:sz w:val="21"/>
              </w:rPr>
              <w:t>分值</w:t>
            </w:r>
          </w:p>
        </w:tc>
        <w:tc>
          <w:tcPr>
            <w:tcW w:type="dxa" w:w="287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/>
                <w:sz w:val="21"/>
              </w:rPr>
              <w:t>核验方式</w:t>
            </w:r>
          </w:p>
        </w:tc>
      </w:tr>
      <w:tr>
        <w:tc>
          <w:tcPr>
            <w:tcW w:type="dxa" w:w="287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发表在SCI/SSCI/A&amp;HCI/CSSCI收录期刊上</w:t>
            </w:r>
          </w:p>
        </w:tc>
        <w:tc>
          <w:tcPr>
            <w:tcW w:type="dxa" w:w="287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20分</w:t>
            </w:r>
          </w:p>
        </w:tc>
        <w:tc>
          <w:tcPr>
            <w:tcW w:type="dxa" w:w="287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提供期刊原件、中文论文收录截图、外文论文检索报告</w:t>
            </w:r>
          </w:p>
        </w:tc>
      </w:tr>
      <w:tr>
        <w:tc>
          <w:tcPr>
            <w:tcW w:type="dxa" w:w="287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发表在CSSCI扩展版期刊上</w:t>
            </w:r>
          </w:p>
        </w:tc>
        <w:tc>
          <w:tcPr>
            <w:tcW w:type="dxa" w:w="287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10分</w:t>
            </w:r>
          </w:p>
        </w:tc>
        <w:tc>
          <w:tcPr>
            <w:tcW w:type="dxa" w:w="287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提供期刊原件、中文论文收录截图、外文论文检索报告</w:t>
            </w:r>
          </w:p>
        </w:tc>
      </w:tr>
    </w:tbl>
    <w:sectPr w:rsidR="00FC693F" w:rsidRPr="0006063C" w:rsidSect="00034616">
      <w:pgSz w:w="12240" w:h="15840"/>
      <w:pgMar w:top="1440" w:right="1803" w:bottom="1440" w:left="180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宋体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