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土木学院推荐优秀应届本科毕业生免试攻读研究生遴选推荐实施办法-土木工程学院</w:t>
      </w:r>
    </w:p>
    <w:p>
      <w:pPr>
        <w:spacing w:after="80" w:lineRule="auto" w:line="360"/>
        <w:ind w:firstLine="482"/>
        <w:jc w:val="both"/>
      </w:pPr>
      <w:r>
        <w:rPr>
          <w:rFonts w:ascii="Times New Roman" w:hAnsi="Times New Roman" w:eastAsia="宋体"/>
          <w:b w:val="0"/>
          <w:sz w:val="24"/>
        </w:rPr>
        <w:t>北方工业大学土木工程学院2026年推荐优秀应届本科毕业生免试攻读研究生遴选推荐实施办法。为确保推荐优秀应届本科毕业生免试攻读研究生（以下简称推免）工作顺利进行，激励本科学生勤奋学习、积极创新和全面发展，根据《北方工业大学推荐优秀应届本科毕业生免试攻读研究生遴选推荐办法》（校发〔2024〕37号）和《北方工业大学关于开展2026届推免生遴选推荐工作的通知》文件精神，结合本学院实际，特制定本实施办法。</w:t>
      </w:r>
    </w:p>
    <w:p>
      <w:pPr>
        <w:spacing w:after="80" w:lineRule="auto" w:line="360"/>
        <w:ind w:firstLine="482"/>
        <w:jc w:val="both"/>
      </w:pPr>
      <w:r>
        <w:rPr>
          <w:rFonts w:ascii="Times New Roman" w:hAnsi="Times New Roman" w:eastAsia="宋体"/>
          <w:b w:val="0"/>
          <w:sz w:val="24"/>
        </w:rPr>
        <w:t>发布日期（推定）：2020年7月6日</w:t>
      </w:r>
    </w:p>
    <w:p>
      <w:pPr>
        <w:spacing w:before="160" w:after="80" w:lineRule="auto" w:line="360"/>
        <w:jc w:val="left"/>
      </w:pPr>
      <w:r>
        <w:rPr>
          <w:rFonts w:ascii="Times New Roman" w:hAnsi="Times New Roman" w:eastAsia="宋体"/>
          <w:b/>
          <w:sz w:val="28"/>
        </w:rPr>
        <w:t>一、推免工作小组</w:t>
      </w:r>
    </w:p>
    <w:p>
      <w:pPr>
        <w:spacing w:after="80" w:lineRule="auto" w:line="360"/>
        <w:ind w:firstLine="482"/>
        <w:jc w:val="both"/>
      </w:pPr>
      <w:r>
        <w:rPr>
          <w:rFonts w:ascii="Times New Roman" w:hAnsi="Times New Roman" w:eastAsia="宋体"/>
          <w:b w:val="0"/>
          <w:sz w:val="24"/>
        </w:rPr>
        <w:t>学院成立推免工作小组，负责组织开展本院推免生遴选推荐工作。工作小组成员如下：</w:t>
      </w:r>
    </w:p>
    <w:p>
      <w:pPr>
        <w:spacing w:after="80" w:lineRule="auto" w:line="360"/>
        <w:ind w:firstLine="482"/>
        <w:jc w:val="both"/>
      </w:pPr>
      <w:r>
        <w:rPr>
          <w:rFonts w:ascii="Times New Roman" w:hAnsi="Times New Roman" w:eastAsia="宋体"/>
          <w:b w:val="0"/>
          <w:sz w:val="24"/>
        </w:rPr>
        <w:t>组 长：纪颖波 张少波</w:t>
      </w:r>
    </w:p>
    <w:p>
      <w:pPr>
        <w:spacing w:after="80" w:lineRule="auto" w:line="360"/>
        <w:ind w:firstLine="482"/>
        <w:jc w:val="both"/>
      </w:pPr>
      <w:r>
        <w:rPr>
          <w:rFonts w:ascii="Times New Roman" w:hAnsi="Times New Roman" w:eastAsia="宋体"/>
          <w:b w:val="0"/>
          <w:sz w:val="24"/>
        </w:rPr>
        <w:t>副组长：宋小软 冯少杰</w:t>
      </w:r>
    </w:p>
    <w:p>
      <w:pPr>
        <w:spacing w:after="80" w:lineRule="auto" w:line="360"/>
        <w:ind w:firstLine="482"/>
        <w:jc w:val="both"/>
      </w:pPr>
      <w:r>
        <w:rPr>
          <w:rFonts w:ascii="Times New Roman" w:hAnsi="Times New Roman" w:eastAsia="宋体"/>
          <w:b w:val="0"/>
          <w:sz w:val="24"/>
        </w:rPr>
        <w:t>成 员：白玉星 李 悦 张召冉</w:t>
      </w:r>
    </w:p>
    <w:p>
      <w:pPr>
        <w:spacing w:after="80" w:lineRule="auto" w:line="360"/>
        <w:ind w:firstLine="482"/>
        <w:jc w:val="both"/>
      </w:pPr>
      <w:r>
        <w:rPr>
          <w:rFonts w:ascii="Times New Roman" w:hAnsi="Times New Roman" w:eastAsia="宋体"/>
          <w:b w:val="0"/>
          <w:sz w:val="24"/>
        </w:rPr>
        <w:t>秘 书：金 磊 李 霞</w:t>
      </w:r>
    </w:p>
    <w:p>
      <w:pPr>
        <w:spacing w:before="160" w:after="80" w:lineRule="auto" w:line="360"/>
        <w:jc w:val="left"/>
      </w:pPr>
      <w:r>
        <w:rPr>
          <w:rFonts w:ascii="Times New Roman" w:hAnsi="Times New Roman" w:eastAsia="宋体"/>
          <w:b/>
          <w:sz w:val="28"/>
        </w:rPr>
        <w:t>二、推荐条件</w:t>
      </w:r>
    </w:p>
    <w:p>
      <w:pPr>
        <w:spacing w:after="80" w:lineRule="auto" w:line="360"/>
        <w:ind w:firstLine="482"/>
        <w:jc w:val="both"/>
      </w:pPr>
      <w:r>
        <w:rPr>
          <w:rFonts w:ascii="Times New Roman" w:hAnsi="Times New Roman" w:eastAsia="宋体"/>
          <w:b w:val="0"/>
          <w:sz w:val="24"/>
        </w:rPr>
        <w:t>1. 纳入国家普通本科招生计划录取的应届毕业生（不含专起本、贯通、第二学士学位学生，不含进入毕业年级后办理过休学、留降级等手续的学生）。</w:t>
      </w:r>
    </w:p>
    <w:p>
      <w:pPr>
        <w:spacing w:after="80" w:lineRule="auto" w:line="360"/>
        <w:ind w:firstLine="482"/>
        <w:jc w:val="both"/>
      </w:pPr>
      <w:r>
        <w:rPr>
          <w:rFonts w:ascii="Times New Roman" w:hAnsi="Times New Roman" w:eastAsia="宋体"/>
          <w:b w:val="0"/>
          <w:sz w:val="24"/>
        </w:rPr>
        <w:t>2. 具有高尚的爱国主义情操和集体主义精神，政治立场坚定，具有良好的思想道德品质，身心健康。</w:t>
      </w:r>
    </w:p>
    <w:p>
      <w:pPr>
        <w:spacing w:after="80" w:lineRule="auto" w:line="360"/>
        <w:ind w:firstLine="482"/>
        <w:jc w:val="both"/>
      </w:pPr>
      <w:r>
        <w:rPr>
          <w:rFonts w:ascii="Times New Roman" w:hAnsi="Times New Roman" w:eastAsia="宋体"/>
          <w:b w:val="0"/>
          <w:sz w:val="24"/>
        </w:rPr>
        <w:t>3. 诚实守信、遵纪守法，学风端正，无考试作弊和违反学术道德的记录。</w:t>
      </w:r>
    </w:p>
    <w:p>
      <w:pPr>
        <w:spacing w:after="80" w:lineRule="auto" w:line="360"/>
        <w:ind w:firstLine="482"/>
        <w:jc w:val="both"/>
      </w:pPr>
      <w:r>
        <w:rPr>
          <w:rFonts w:ascii="Times New Roman" w:hAnsi="Times New Roman" w:eastAsia="宋体"/>
          <w:b w:val="0"/>
          <w:sz w:val="24"/>
        </w:rPr>
        <w:t>4. 勤奋学习、刻苦钻研、成绩优秀，学术研究兴趣浓厚，有较强的创新意识、创新能力和专业能力。</w:t>
      </w:r>
    </w:p>
    <w:p>
      <w:pPr>
        <w:spacing w:after="80" w:lineRule="auto" w:line="360"/>
        <w:ind w:firstLine="482"/>
        <w:jc w:val="both"/>
      </w:pPr>
      <w:r>
        <w:rPr>
          <w:rFonts w:ascii="Times New Roman" w:hAnsi="Times New Roman" w:eastAsia="宋体"/>
          <w:b w:val="0"/>
          <w:sz w:val="24"/>
        </w:rPr>
        <w:t>5. 前3学年本专业年级教学计划中应学必修课成绩绩点专业排序小于等于25%（依据教学信息网公布的“推免专业排序绩点分”），且必修课无不及格记录。各科目成绩取得截止时间为2025年8月31日。</w:t>
      </w:r>
    </w:p>
    <w:p>
      <w:pPr>
        <w:spacing w:before="160" w:after="80" w:lineRule="auto" w:line="360"/>
        <w:jc w:val="left"/>
      </w:pPr>
      <w:r>
        <w:rPr>
          <w:rFonts w:ascii="Times New Roman" w:hAnsi="Times New Roman" w:eastAsia="宋体"/>
          <w:b/>
          <w:sz w:val="28"/>
        </w:rPr>
        <w:t>三、推荐名额</w:t>
      </w:r>
    </w:p>
    <w:p>
      <w:pPr>
        <w:spacing w:after="80" w:lineRule="auto" w:line="360"/>
        <w:ind w:firstLine="482"/>
        <w:jc w:val="both"/>
      </w:pPr>
      <w:r>
        <w:rPr>
          <w:rFonts w:ascii="Times New Roman" w:hAnsi="Times New Roman" w:eastAsia="宋体"/>
          <w:b w:val="0"/>
          <w:sz w:val="24"/>
        </w:rPr>
        <w:t>根据学校推免生分配名额与分配原则，结合学院实际，确定各专业推免生名额如下（各专业符合推荐资格且按时提交申请的学生不足所分配的名额时，剩余名额由学院收回另行分配）：</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序号</w:t>
            </w:r>
          </w:p>
        </w:tc>
        <w:tc>
          <w:tcPr>
            <w:tcW w:type="dxa" w:w="2878"/>
          </w:tcPr>
          <w:p>
            <w:pPr>
              <w:spacing w:after="20" w:before="20"/>
            </w:pPr>
            <w:r/>
            <w:r>
              <w:rPr>
                <w:rFonts w:ascii="Times New Roman" w:hAnsi="Times New Roman" w:eastAsia="宋体"/>
                <w:b/>
                <w:sz w:val="21"/>
              </w:rPr>
              <w:t>专业</w:t>
            </w:r>
          </w:p>
        </w:tc>
        <w:tc>
          <w:tcPr>
            <w:tcW w:type="dxa" w:w="2878"/>
          </w:tcPr>
          <w:p>
            <w:pPr>
              <w:spacing w:after="20" w:before="20"/>
            </w:pPr>
            <w:r/>
            <w:r>
              <w:rPr>
                <w:rFonts w:ascii="Times New Roman" w:hAnsi="Times New Roman" w:eastAsia="宋体"/>
                <w:b/>
                <w:sz w:val="21"/>
              </w:rPr>
              <w:t>推荐名额</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土木工程</w:t>
            </w:r>
          </w:p>
        </w:tc>
        <w:tc>
          <w:tcPr>
            <w:tcW w:type="dxa" w:w="2878"/>
          </w:tcPr>
          <w:p>
            <w:pPr>
              <w:spacing w:after="20" w:before="20"/>
            </w:pPr>
            <w:r/>
            <w:r>
              <w:rPr>
                <w:rFonts w:ascii="Times New Roman" w:hAnsi="Times New Roman" w:eastAsia="宋体"/>
                <w:b w:val="0"/>
                <w:sz w:val="21"/>
              </w:rPr>
              <w:t>4</w:t>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智能建造</w:t>
            </w:r>
          </w:p>
        </w:tc>
        <w:tc>
          <w:tcPr>
            <w:tcW w:type="dxa" w:w="2878"/>
          </w:tcPr>
          <w:p>
            <w:pPr>
              <w:spacing w:after="20" w:before="20"/>
            </w:pPr>
            <w:r/>
            <w:r>
              <w:rPr>
                <w:rFonts w:ascii="Times New Roman" w:hAnsi="Times New Roman" w:eastAsia="宋体"/>
                <w:b w:val="0"/>
                <w:sz w:val="21"/>
              </w:rPr>
              <w:t>4</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城市地下空间工程</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4</w:t>
            </w:r>
          </w:p>
        </w:tc>
        <w:tc>
          <w:tcPr>
            <w:tcW w:type="dxa" w:w="2878"/>
          </w:tcPr>
          <w:p>
            <w:pPr>
              <w:spacing w:after="20" w:before="20"/>
            </w:pPr>
            <w:r/>
            <w:r>
              <w:rPr>
                <w:rFonts w:ascii="Times New Roman" w:hAnsi="Times New Roman" w:eastAsia="宋体"/>
                <w:b w:val="0"/>
                <w:sz w:val="21"/>
              </w:rPr>
              <w:t>工程管理</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5</w:t>
            </w:r>
          </w:p>
        </w:tc>
        <w:tc>
          <w:tcPr>
            <w:tcW w:type="dxa" w:w="2878"/>
          </w:tcPr>
          <w:p>
            <w:pPr>
              <w:spacing w:after="20" w:before="20"/>
            </w:pPr>
            <w:r/>
            <w:r>
              <w:rPr>
                <w:rFonts w:ascii="Times New Roman" w:hAnsi="Times New Roman" w:eastAsia="宋体"/>
                <w:b w:val="0"/>
                <w:sz w:val="21"/>
              </w:rPr>
              <w:t>建筑环境与能源应用工程</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合计</w:t>
            </w:r>
          </w:p>
        </w:tc>
        <w:tc>
          <w:tcPr>
            <w:tcW w:type="dxa" w:w="2878"/>
          </w:tcPr>
          <w:p>
            <w:pPr>
              <w:spacing w:after="20" w:before="20"/>
            </w:pPr>
            <w:r/>
            <w:r>
              <w:rPr>
                <w:rFonts w:ascii="Times New Roman" w:hAnsi="Times New Roman" w:eastAsia="宋体"/>
                <w:b w:val="0"/>
                <w:sz w:val="21"/>
              </w:rPr>
            </w:r>
          </w:p>
        </w:tc>
        <w:tc>
          <w:tcPr>
            <w:tcW w:type="dxa" w:w="2878"/>
          </w:tcPr>
          <w:p>
            <w:pPr>
              <w:spacing w:after="20" w:before="20"/>
            </w:pPr>
            <w:r/>
            <w:r>
              <w:rPr>
                <w:rFonts w:ascii="Times New Roman" w:hAnsi="Times New Roman" w:eastAsia="宋体"/>
                <w:b w:val="0"/>
                <w:sz w:val="21"/>
              </w:rPr>
              <w:t>16</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