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第一临床医学院（第一附属医院）2026年推荐 优秀应届本科毕业生免试攻读硕士学位 研究生遴选工作实施细则</w:t>
      </w:r>
    </w:p>
    <w:p>
      <w:pPr>
        <w:spacing w:after="80" w:lineRule="auto" w:line="360"/>
        <w:ind w:firstLine="482"/>
        <w:jc w:val="both"/>
      </w:pPr>
      <w:r>
        <w:rPr>
          <w:rFonts w:ascii="Times New Roman" w:hAnsi="Times New Roman" w:eastAsia="宋体"/>
          <w:b w:val="0"/>
          <w:sz w:val="24"/>
        </w:rPr>
        <w:t>第一临床医学院（第一附属医院）2026年推荐优秀应届本科毕业生免试攻读硕士学位研究生遴选工作实施细则。</w:t>
      </w:r>
    </w:p>
    <w:p>
      <w:pPr>
        <w:spacing w:after="80" w:lineRule="auto" w:line="360"/>
        <w:ind w:firstLine="482"/>
        <w:jc w:val="both"/>
      </w:pPr>
      <w:r>
        <w:rPr>
          <w:rFonts w:ascii="Times New Roman" w:hAnsi="Times New Roman" w:eastAsia="宋体"/>
          <w:b w:val="0"/>
          <w:sz w:val="24"/>
        </w:rPr>
        <w:t>发布日期（推定）：2025年9月1日</w:t>
      </w:r>
    </w:p>
    <w:p>
      <w:pPr>
        <w:spacing w:before="160" w:after="80" w:lineRule="auto" w:line="360"/>
        <w:jc w:val="left"/>
      </w:pPr>
      <w:r>
        <w:rPr>
          <w:rFonts w:ascii="Times New Roman" w:hAnsi="Times New Roman" w:eastAsia="宋体"/>
          <w:b/>
          <w:sz w:val="28"/>
        </w:rPr>
        <w:t>一、基本信息</w:t>
      </w:r>
    </w:p>
    <w:p>
      <w:pPr>
        <w:spacing w:after="80" w:lineRule="auto" w:line="360"/>
        <w:ind w:firstLine="482"/>
        <w:jc w:val="both"/>
      </w:pPr>
      <w:r>
        <w:rPr>
          <w:rFonts w:ascii="Times New Roman" w:hAnsi="Times New Roman" w:eastAsia="宋体"/>
          <w:b w:val="0"/>
          <w:sz w:val="24"/>
        </w:rPr>
        <w:t>1. 文件名称：第一临床医学院（第一附属医院）2026年推荐优秀应届本科毕业生免试攻读硕士学位研究生遴选工作实施细则。</w:t>
      </w:r>
    </w:p>
    <w:p>
      <w:pPr>
        <w:spacing w:after="80" w:lineRule="auto" w:line="360"/>
        <w:ind w:firstLine="482"/>
        <w:jc w:val="both"/>
      </w:pPr>
      <w:r>
        <w:rPr>
          <w:rFonts w:ascii="Times New Roman" w:hAnsi="Times New Roman" w:eastAsia="宋体"/>
          <w:b w:val="0"/>
          <w:sz w:val="24"/>
        </w:rPr>
        <w:t>2. 发布单位：第一临床医学院（第一附属医院）。</w:t>
      </w:r>
    </w:p>
    <w:p>
      <w:pPr>
        <w:spacing w:before="160" w:after="80" w:lineRule="auto" w:line="360"/>
        <w:jc w:val="left"/>
      </w:pPr>
      <w:r>
        <w:rPr>
          <w:rFonts w:ascii="Times New Roman" w:hAnsi="Times New Roman" w:eastAsia="宋体"/>
          <w:b/>
          <w:sz w:val="28"/>
        </w:rPr>
        <w:t>二、说明</w:t>
      </w:r>
    </w:p>
    <w:p>
      <w:pPr>
        <w:spacing w:after="80" w:lineRule="auto" w:line="360"/>
        <w:ind w:firstLine="482"/>
        <w:jc w:val="both"/>
      </w:pPr>
      <w:r>
        <w:rPr>
          <w:rFonts w:ascii="Times New Roman" w:hAnsi="Times New Roman" w:eastAsia="宋体"/>
          <w:b w:val="0"/>
          <w:sz w:val="24"/>
        </w:rPr>
        <w:t>1. 本段内容仅为该实施细则的标题及页面附属链接信息，未包含申请条件、报名时间、活动时间、接收条件、流程、材料清单、时间节点、名额、联系方式等具体内容。</w:t>
      </w:r>
    </w:p>
    <w:p>
      <w:pPr>
        <w:spacing w:after="80" w:lineRule="auto" w:line="360"/>
        <w:ind w:firstLine="482"/>
        <w:jc w:val="both"/>
      </w:pPr>
      <w:r>
        <w:rPr>
          <w:rFonts w:ascii="Times New Roman" w:hAnsi="Times New Roman" w:eastAsia="宋体"/>
          <w:b w:val="0"/>
          <w:sz w:val="24"/>
        </w:rPr>
        <w:t>2. 页面附属链接信息包括：返回列表页；安徽省卫健委；蚌埠医科大学；医联体托管医院；医联体医院；蚌医一附院萧县医院；蚌医一附院蒙城医院。</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