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数学科学学院2025年推荐优秀应届本科毕业生免试攻读研究生工作细则</w:t>
      </w:r>
    </w:p>
    <w:p>
      <w:pPr>
        <w:spacing w:after="80" w:lineRule="auto" w:line="360"/>
        <w:ind w:firstLine="482"/>
        <w:jc w:val="both"/>
      </w:pPr>
      <w:r>
        <w:rPr>
          <w:rFonts w:ascii="Times New Roman" w:hAnsi="Times New Roman" w:eastAsia="宋体"/>
          <w:b w:val="0"/>
          <w:sz w:val="24"/>
        </w:rPr>
        <w:t>数学科学学院2025年推荐优秀应届本科毕业生免试攻读研究生工作细则</w:t>
      </w:r>
    </w:p>
    <w:p>
      <w:pPr>
        <w:spacing w:after="80" w:lineRule="auto" w:line="360"/>
        <w:ind w:firstLine="482"/>
        <w:jc w:val="both"/>
      </w:pPr>
      <w:r>
        <w:rPr>
          <w:rFonts w:ascii="Times New Roman" w:hAnsi="Times New Roman" w:eastAsia="宋体"/>
          <w:b w:val="0"/>
          <w:sz w:val="24"/>
        </w:rPr>
        <w:t>发布日期：2024年9月3日</w:t>
      </w:r>
    </w:p>
    <w:p>
      <w:pPr>
        <w:spacing w:after="80" w:lineRule="auto" w:line="360"/>
        <w:ind w:firstLine="482"/>
        <w:jc w:val="both"/>
      </w:pPr>
      <w:r>
        <w:rPr>
          <w:rFonts w:ascii="Times New Roman" w:hAnsi="Times New Roman" w:eastAsia="宋体"/>
          <w:b w:val="0"/>
          <w:sz w:val="24"/>
        </w:rPr>
        <w:t>推荐优秀应届本科毕业生免试攻读研究生工作（以下简称推免工作）是全国研究生招生工作的重要组成部分，是促进人才选拔方式多元化、扩大研究生招生单位招生自主权、加大拔尖创新人才选拔力度、提高研究生招生质量的重要保证，也是促进和激励在校本科生勤奋学习、勇于创新、知行统一、全面发展的有效措施。根据学校及上级有关部门要求，结合学科实际，特制订本推荐免试研究生工作细则。</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以德为先、科学选拔、全面考查。落实立德树人根本任务，坚持德智体美劳全面衡量，以德为先，思想品德考核不合格者不予推荐；加强对学生科研创新潜质和专业素质能力的考核、注重学生在学期间的过程性评价。</w:t>
      </w:r>
    </w:p>
    <w:p>
      <w:pPr>
        <w:spacing w:after="80" w:lineRule="auto" w:line="360"/>
        <w:ind w:firstLine="482"/>
        <w:jc w:val="both"/>
      </w:pPr>
      <w:r>
        <w:rPr>
          <w:rFonts w:ascii="Times New Roman" w:hAnsi="Times New Roman" w:eastAsia="宋体"/>
          <w:b w:val="0"/>
          <w:sz w:val="24"/>
        </w:rPr>
        <w:t>2. 坚持客观评价。量化选拔成绩，综合素质考核明确等次结果。</w:t>
      </w:r>
    </w:p>
    <w:p>
      <w:pPr>
        <w:spacing w:after="80" w:lineRule="auto" w:line="360"/>
        <w:ind w:firstLine="482"/>
        <w:jc w:val="both"/>
      </w:pPr>
      <w:r>
        <w:rPr>
          <w:rFonts w:ascii="Times New Roman" w:hAnsi="Times New Roman" w:eastAsia="宋体"/>
          <w:b w:val="0"/>
          <w:sz w:val="24"/>
        </w:rPr>
        <w:t>3. 坚持公平公正。严肃工作纪律，明确推荐标准，信息公开，接受监督，维护学生的合法权益。</w:t>
      </w:r>
    </w:p>
    <w:p>
      <w:pPr>
        <w:spacing w:after="80" w:lineRule="auto" w:line="360"/>
        <w:ind w:firstLine="482"/>
        <w:jc w:val="both"/>
      </w:pPr>
      <w:r>
        <w:rPr>
          <w:rFonts w:ascii="Times New Roman" w:hAnsi="Times New Roman" w:eastAsia="宋体"/>
          <w:b w:val="0"/>
          <w:sz w:val="24"/>
        </w:rPr>
        <w:t>4. 坚持以人为本。增强服务意识，提高管理水平，利用“全国推荐优秀应届本科毕业生免试攻读研究生信息公开暨管理服务系统”（以下简称“推免服务系统”），按照“积极引导、以人为本”的原则，充分做好推免报名工作，切实提高服务水平。</w:t>
      </w:r>
    </w:p>
    <w:p>
      <w:pPr>
        <w:spacing w:after="80" w:lineRule="auto" w:line="360"/>
        <w:ind w:firstLine="482"/>
        <w:jc w:val="both"/>
      </w:pPr>
      <w:r>
        <w:rPr>
          <w:rFonts w:ascii="Times New Roman" w:hAnsi="Times New Roman" w:eastAsia="宋体"/>
          <w:b w:val="0"/>
          <w:sz w:val="24"/>
        </w:rPr>
        <w:t>5. 坚持回避原则。凡有亲属参加选拔的人员，一律回避。</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成立数学科学学院推荐免试工作领导小组，名单如下：</w:t>
      </w:r>
    </w:p>
    <w:p>
      <w:pPr>
        <w:spacing w:after="80" w:lineRule="auto" w:line="360"/>
        <w:ind w:firstLine="482"/>
        <w:jc w:val="both"/>
      </w:pPr>
      <w:r>
        <w:rPr>
          <w:rFonts w:ascii="Times New Roman" w:hAnsi="Times New Roman" w:eastAsia="宋体"/>
          <w:b w:val="0"/>
          <w:sz w:val="24"/>
        </w:rPr>
        <w:t>组长：王培合 刘进</w:t>
      </w:r>
    </w:p>
    <w:p>
      <w:pPr>
        <w:spacing w:after="80" w:lineRule="auto" w:line="360"/>
        <w:ind w:firstLine="482"/>
        <w:jc w:val="both"/>
      </w:pPr>
      <w:r>
        <w:rPr>
          <w:rFonts w:ascii="Times New Roman" w:hAnsi="Times New Roman" w:eastAsia="宋体"/>
          <w:b w:val="0"/>
          <w:sz w:val="24"/>
        </w:rPr>
        <w:t>成员：许勇军 杜晨曦 毛安民 高思明 吕瑞源 齐成成 刘海迪</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纳入国家教育部普通本科招生计划录取的应届毕业生（不含专升本、第二学士学位、独立学院学生）。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勤奋学习，刻苦钻研，成绩优秀；学术研究兴趣浓厚，有较强的创新意识、创新能力和专业能力。前三学年平均综合测评成绩排在同专业前50%，且前三学年平均学分绩点排在同专业前20%。</w:t>
      </w:r>
    </w:p>
    <w:p>
      <w:pPr>
        <w:spacing w:after="80" w:lineRule="auto" w:line="360"/>
        <w:ind w:firstLine="482"/>
        <w:jc w:val="both"/>
      </w:pPr>
      <w:r>
        <w:rPr>
          <w:rFonts w:ascii="Times New Roman" w:hAnsi="Times New Roman" w:eastAsia="宋体"/>
          <w:b w:val="0"/>
          <w:sz w:val="24"/>
        </w:rPr>
        <w:t>6. 申请“研究生支教团”和“农村学校教育硕士师资培养”等专项推免计划的学生除满足申请推免生基本条件外，还需满足各相关计划实施文件的要求。</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根据学校下发指标，参照各专业人数和成绩情况，分配给数学与应用数学（师范）专业20个实名额和4个虚名额（虚名额1，虚名额2，虚名额4，虚名额5），2个卓越中学教师计划；分配信息与计算科学专业3个实名额和1个虚名额（虚名额3）；分配给数学与应用数学（师范M）3个“农村学校教育硕士师资培养”计划名额。另外，研究生支教团名额由团委确定并上报名单。</w:t>
      </w:r>
    </w:p>
    <w:p>
      <w:pPr>
        <w:spacing w:after="80" w:lineRule="auto" w:line="360"/>
        <w:ind w:firstLine="482"/>
        <w:jc w:val="both"/>
      </w:pPr>
      <w:r>
        <w:rPr>
          <w:rFonts w:ascii="Times New Roman" w:hAnsi="Times New Roman" w:eastAsia="宋体"/>
          <w:b w:val="0"/>
          <w:sz w:val="24"/>
        </w:rPr>
        <w:t>各专业按最终综合成绩从高到低依次选择，如前面同学放弃，后一名同学递补。</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成绩计算公式：最终综合成绩=学分绩点成绩*90%+专业考核成绩*10%。</w:t>
      </w:r>
    </w:p>
    <w:p>
      <w:pPr>
        <w:spacing w:after="80" w:lineRule="auto" w:line="360"/>
        <w:ind w:firstLine="482"/>
        <w:jc w:val="both"/>
      </w:pPr>
      <w:r>
        <w:rPr>
          <w:rFonts w:ascii="Times New Roman" w:hAnsi="Times New Roman" w:eastAsia="宋体"/>
          <w:b w:val="0"/>
          <w:sz w:val="24"/>
        </w:rPr>
        <w:t>计算平均学分绩点的课程范畴。在体育成绩及格的前提下选择以下课程模块进行计算：（1）师范类学生计算在内的课程包括教育教学理论课程、政治英语类课程、专业核心课和专业拓展课；（2）非师范类学生计算在内的课程包括政治英语类课程、专业核心课和专业拓展课。</w:t>
      </w:r>
    </w:p>
    <w:p>
      <w:pPr>
        <w:spacing w:after="80" w:lineRule="auto" w:line="360"/>
        <w:ind w:firstLine="482"/>
        <w:jc w:val="both"/>
      </w:pPr>
      <w:r>
        <w:rPr>
          <w:rFonts w:ascii="Times New Roman" w:hAnsi="Times New Roman" w:eastAsia="宋体"/>
          <w:b w:val="0"/>
          <w:sz w:val="24"/>
        </w:rPr>
        <w:t>专业考核包括学术与创新、实践与服务等内容，以参军入伍服兵役、参加志愿服务、到国际组织实习、科研成果、竞赛获奖、国家级大学生创新创业训练等符合全面发展价值导向等因素作为测评指标。专业考核成绩满分为100分，各项统分指标如下：</w:t>
      </w:r>
    </w:p>
    <w:p>
      <w:pPr>
        <w:spacing w:after="80" w:lineRule="auto" w:line="360"/>
        <w:ind w:firstLine="482"/>
        <w:jc w:val="both"/>
      </w:pPr>
      <w:r>
        <w:rPr>
          <w:rFonts w:ascii="Times New Roman" w:hAnsi="Times New Roman" w:eastAsia="宋体"/>
          <w:b w:val="0"/>
          <w:sz w:val="24"/>
        </w:rPr>
        <w:t>1. 学科竞赛类。本科学习期间，参加与学业相关的国家级高水平学科竞赛（名单见附件）并获得规定位次的个人奖励，A1类第一奖励等级前三位、第二奖励等级前两位、第三奖励等级首位，或A2类第一奖励等级前两位、第二奖励等级首位。符合以上条件的申请推免学生，专业考核成绩按满分计。</w:t>
      </w:r>
    </w:p>
    <w:p>
      <w:pPr>
        <w:spacing w:after="80" w:lineRule="auto" w:line="360"/>
        <w:ind w:firstLine="482"/>
        <w:jc w:val="both"/>
      </w:pPr>
      <w:r>
        <w:rPr>
          <w:rFonts w:ascii="Times New Roman" w:hAnsi="Times New Roman" w:eastAsia="宋体"/>
          <w:b w:val="0"/>
          <w:sz w:val="24"/>
        </w:rPr>
        <w:t>2. 参军入伍服兵役（本项满分50分）。在校期间参军入伍且在学校推免通知下达当日（2024年9月6日）之前服完兵役返校，符合条件的申请推免学生，专业考核成绩本项加50分。</w:t>
      </w:r>
    </w:p>
    <w:p>
      <w:pPr>
        <w:spacing w:after="80" w:lineRule="auto" w:line="360"/>
        <w:ind w:firstLine="482"/>
        <w:jc w:val="both"/>
      </w:pPr>
      <w:r>
        <w:rPr>
          <w:rFonts w:ascii="Times New Roman" w:hAnsi="Times New Roman" w:eastAsia="宋体"/>
          <w:b w:val="0"/>
          <w:sz w:val="24"/>
        </w:rPr>
        <w:t>3. 参加国际组织实习（本项满分40分）。线下赴境外参加国际组织实习并圆满完成实习任务，符合条件的申请推免学生，专业考核成绩本项加40分。</w:t>
      </w:r>
    </w:p>
    <w:p>
      <w:pPr>
        <w:spacing w:after="80" w:lineRule="auto" w:line="360"/>
        <w:ind w:firstLine="482"/>
        <w:jc w:val="both"/>
      </w:pPr>
      <w:r>
        <w:rPr>
          <w:rFonts w:ascii="Times New Roman" w:hAnsi="Times New Roman" w:eastAsia="宋体"/>
          <w:b w:val="0"/>
          <w:sz w:val="24"/>
        </w:rPr>
        <w:t>4. 参加社会实践、志愿服务活动（本项满分0.5分）。圆满完成一项社会实践或者志愿服务活动，符合条件的申请推免学生，专业考核成绩本项加0.5分。</w:t>
      </w:r>
    </w:p>
    <w:p>
      <w:pPr>
        <w:spacing w:after="80" w:lineRule="auto" w:line="360"/>
        <w:ind w:firstLine="482"/>
        <w:jc w:val="both"/>
      </w:pPr>
      <w:r>
        <w:rPr>
          <w:rFonts w:ascii="Times New Roman" w:hAnsi="Times New Roman" w:eastAsia="宋体"/>
          <w:b w:val="0"/>
          <w:sz w:val="24"/>
        </w:rPr>
        <w:t>5. 发明专利（本项满分1.5分）。首位申请到授权的发明专利，符合条件的申请推免学生，经公开答辩认定，专业考核成绩本项加1.5分。</w:t>
      </w:r>
    </w:p>
    <w:p>
      <w:pPr>
        <w:spacing w:after="80" w:lineRule="auto" w:line="360"/>
        <w:ind w:firstLine="482"/>
        <w:jc w:val="both"/>
      </w:pPr>
      <w:r>
        <w:rPr>
          <w:rFonts w:ascii="Times New Roman" w:hAnsi="Times New Roman" w:eastAsia="宋体"/>
          <w:b w:val="0"/>
          <w:sz w:val="24"/>
        </w:rPr>
        <w:t>6. 科研成果（本项满分3分）：取单篇最高分+另一篇50%计算，最多两篇。</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作者情况</w:t>
            </w:r>
          </w:p>
        </w:tc>
        <w:tc>
          <w:tcPr>
            <w:tcW w:type="dxa" w:w="2158"/>
          </w:tcPr>
          <w:p>
            <w:pPr>
              <w:spacing w:after="20" w:before="20"/>
            </w:pPr>
            <w:r/>
            <w:r>
              <w:rPr>
                <w:rFonts w:ascii="Times New Roman" w:hAnsi="Times New Roman" w:eastAsia="宋体"/>
                <w:b/>
                <w:sz w:val="21"/>
              </w:rPr>
              <w:t>核心A及以上</w:t>
            </w:r>
          </w:p>
        </w:tc>
        <w:tc>
          <w:tcPr>
            <w:tcW w:type="dxa" w:w="2158"/>
          </w:tcPr>
          <w:p>
            <w:pPr>
              <w:spacing w:after="20" w:before="20"/>
            </w:pPr>
            <w:r/>
            <w:r>
              <w:rPr>
                <w:rFonts w:ascii="Times New Roman" w:hAnsi="Times New Roman" w:eastAsia="宋体"/>
                <w:b/>
                <w:sz w:val="21"/>
              </w:rPr>
              <w:t>核心B</w:t>
            </w:r>
          </w:p>
        </w:tc>
        <w:tc>
          <w:tcPr>
            <w:tcW w:type="dxa" w:w="2158"/>
          </w:tcPr>
          <w:p>
            <w:pPr>
              <w:spacing w:after="20" w:before="20"/>
            </w:pPr>
            <w:r/>
            <w:r>
              <w:rPr>
                <w:rFonts w:ascii="Times New Roman" w:hAnsi="Times New Roman" w:eastAsia="宋体"/>
                <w:b/>
                <w:sz w:val="21"/>
              </w:rPr>
              <w:t>一般性刊物</w:t>
            </w:r>
          </w:p>
        </w:tc>
      </w:tr>
      <w:tr>
        <w:tc>
          <w:tcPr>
            <w:tcW w:type="dxa" w:w="2158"/>
          </w:tcPr>
          <w:p>
            <w:pPr>
              <w:spacing w:after="20" w:before="20"/>
            </w:pPr>
            <w:r/>
            <w:r>
              <w:rPr>
                <w:rFonts w:ascii="Times New Roman" w:hAnsi="Times New Roman" w:eastAsia="宋体"/>
                <w:b w:val="0"/>
                <w:sz w:val="21"/>
              </w:rPr>
              <w:t>第一作者</w:t>
            </w:r>
          </w:p>
        </w:tc>
        <w:tc>
          <w:tcPr>
            <w:tcW w:type="dxa" w:w="2158"/>
          </w:tcPr>
          <w:p>
            <w:pPr>
              <w:spacing w:after="20" w:before="20"/>
            </w:pPr>
            <w:r/>
            <w:r>
              <w:rPr>
                <w:rFonts w:ascii="Times New Roman" w:hAnsi="Times New Roman" w:eastAsia="宋体"/>
                <w:b w:val="0"/>
                <w:sz w:val="21"/>
              </w:rPr>
              <w:t>3分</w:t>
            </w:r>
          </w:p>
        </w:tc>
        <w:tc>
          <w:tcPr>
            <w:tcW w:type="dxa" w:w="2158"/>
          </w:tcPr>
          <w:p>
            <w:pPr>
              <w:spacing w:after="20" w:before="20"/>
            </w:pPr>
            <w:r/>
            <w:r>
              <w:rPr>
                <w:rFonts w:ascii="Times New Roman" w:hAnsi="Times New Roman" w:eastAsia="宋体"/>
                <w:b w:val="0"/>
                <w:sz w:val="21"/>
              </w:rPr>
              <w:t>2.5分</w:t>
            </w:r>
          </w:p>
        </w:tc>
        <w:tc>
          <w:tcPr>
            <w:tcW w:type="dxa" w:w="2158"/>
          </w:tcPr>
          <w:p>
            <w:pPr>
              <w:spacing w:after="20" w:before="20"/>
            </w:pPr>
            <w:r/>
            <w:r>
              <w:rPr>
                <w:rFonts w:ascii="Times New Roman" w:hAnsi="Times New Roman" w:eastAsia="宋体"/>
                <w:b w:val="0"/>
                <w:sz w:val="21"/>
              </w:rPr>
              <w:t>2分</w:t>
            </w:r>
          </w:p>
        </w:tc>
      </w:tr>
      <w:tr>
        <w:tc>
          <w:tcPr>
            <w:tcW w:type="dxa" w:w="2158"/>
          </w:tcPr>
          <w:p>
            <w:pPr>
              <w:spacing w:after="20" w:before="20"/>
            </w:pPr>
            <w:r/>
            <w:r>
              <w:rPr>
                <w:rFonts w:ascii="Times New Roman" w:hAnsi="Times New Roman" w:eastAsia="宋体"/>
                <w:b w:val="0"/>
                <w:sz w:val="21"/>
              </w:rPr>
              <w:t>其他</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7. 竞赛获奖（本项满分3分）：数学建模多次获奖者，取最高一项；数学竞赛（预赛）多次获奖者，取最高一次。</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奖项</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数学建模</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数学竞赛（预赛）</w:t>
            </w:r>
          </w:p>
        </w:tc>
        <w:tc>
          <w:tcPr>
            <w:tcW w:type="dxa" w:w="431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8. 大学生创新创业训练计划：（本项满分2分）。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参与情况</w:t>
            </w:r>
          </w:p>
        </w:tc>
        <w:tc>
          <w:tcPr>
            <w:tcW w:type="dxa" w:w="4317"/>
          </w:tcPr>
          <w:p>
            <w:pPr>
              <w:spacing w:after="20" w:before="20"/>
            </w:pPr>
            <w:r/>
            <w:r>
              <w:rPr>
                <w:rFonts w:ascii="Times New Roman" w:hAnsi="Times New Roman" w:eastAsia="宋体"/>
                <w:b/>
                <w:sz w:val="21"/>
              </w:rPr>
              <w:t>国家级</w:t>
            </w:r>
          </w:p>
        </w:tc>
      </w:tr>
      <w:tr>
        <w:tc>
          <w:tcPr>
            <w:tcW w:type="dxa" w:w="4317"/>
          </w:tcPr>
          <w:p>
            <w:pPr>
              <w:spacing w:after="20" w:before="20"/>
            </w:pPr>
            <w:r/>
            <w:r>
              <w:rPr>
                <w:rFonts w:ascii="Times New Roman" w:hAnsi="Times New Roman" w:eastAsia="宋体"/>
                <w:b w:val="0"/>
                <w:sz w:val="21"/>
              </w:rPr>
              <w:t>主持</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参与</w:t>
            </w:r>
          </w:p>
        </w:tc>
        <w:tc>
          <w:tcPr>
            <w:tcW w:type="dxa" w:w="4317"/>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注：学生在专业考核的上述8个方面的某一方面中有多项加分情况时，只取加分最高一项。</w:t>
      </w:r>
    </w:p>
    <w:p>
      <w:pPr>
        <w:spacing w:before="160" w:after="80" w:lineRule="auto" w:line="360"/>
        <w:jc w:val="left"/>
      </w:pPr>
      <w:r>
        <w:rPr>
          <w:rFonts w:ascii="Times New Roman" w:hAnsi="Times New Roman" w:eastAsia="宋体"/>
          <w:b/>
          <w:sz w:val="28"/>
        </w:rPr>
        <w:t>六、组织实施程序</w:t>
      </w:r>
    </w:p>
    <w:p>
      <w:pPr>
        <w:spacing w:after="80" w:lineRule="auto" w:line="360"/>
        <w:ind w:firstLine="482"/>
        <w:jc w:val="both"/>
      </w:pPr>
      <w:r>
        <w:rPr>
          <w:rFonts w:ascii="Times New Roman" w:hAnsi="Times New Roman" w:eastAsia="宋体"/>
          <w:b w:val="0"/>
          <w:sz w:val="24"/>
        </w:rPr>
        <w:t>1. 9月6日，公示9月6日10点时刻各专业前三年平均学分绩点排名、综合测评成绩排名，通知学生查看本年度学校相关推免通知文件。</w:t>
      </w:r>
    </w:p>
    <w:p>
      <w:pPr>
        <w:spacing w:after="80" w:lineRule="auto" w:line="360"/>
        <w:ind w:firstLine="482"/>
        <w:jc w:val="both"/>
      </w:pPr>
      <w:r>
        <w:rPr>
          <w:rFonts w:ascii="Times New Roman" w:hAnsi="Times New Roman" w:eastAsia="宋体"/>
          <w:b w:val="0"/>
          <w:sz w:val="24"/>
        </w:rPr>
        <w:t>2. 9月6日前，公布学院推免工作细则。</w:t>
      </w:r>
    </w:p>
    <w:p>
      <w:pPr>
        <w:spacing w:after="80" w:lineRule="auto" w:line="360"/>
        <w:ind w:firstLine="482"/>
        <w:jc w:val="both"/>
      </w:pPr>
      <w:r>
        <w:rPr>
          <w:rFonts w:ascii="Times New Roman" w:hAnsi="Times New Roman" w:eastAsia="宋体"/>
          <w:b w:val="0"/>
          <w:sz w:val="24"/>
        </w:rPr>
        <w:t>3. 9月6日—9月7日，组织符合推免生基本条件的学生报名申请。</w:t>
      </w:r>
    </w:p>
    <w:p>
      <w:pPr>
        <w:spacing w:after="80" w:lineRule="auto" w:line="360"/>
        <w:ind w:firstLine="482"/>
        <w:jc w:val="both"/>
      </w:pPr>
      <w:r>
        <w:rPr>
          <w:rFonts w:ascii="Times New Roman" w:hAnsi="Times New Roman" w:eastAsia="宋体"/>
          <w:b w:val="0"/>
          <w:sz w:val="24"/>
        </w:rPr>
        <w:t>4. 9月8日—9月9日，对报名学生资格进行审核，根据学院推免工作细则，通过专业考核等程序，确定最终综合成绩排名。在专业考核中，涉及科研成果、竞赛获奖成绩测算的，需学生提交论文专利、竞赛成绩、获奖及排名等证明材料，成果截止日期为当年推免通知下发日期（即2024年9月7日）。学院推免工作领导小组对论文、专利、竞赛性质、奖项等级和奖励内容进行审核确认，其中，论文、专利审核通过者还需进行答辩，答辩主要考查创新质量和个人贡献，并给出本项指标测算成绩。学生与直系亲属或学历、职称、职务明显高于本人者合作的科研成果、竞赛奖项等仅作为参考。</w:t>
      </w:r>
    </w:p>
    <w:p>
      <w:pPr>
        <w:spacing w:after="80" w:lineRule="auto" w:line="360"/>
        <w:ind w:firstLine="482"/>
        <w:jc w:val="both"/>
      </w:pPr>
      <w:r>
        <w:rPr>
          <w:rFonts w:ascii="Times New Roman" w:hAnsi="Times New Roman" w:eastAsia="宋体"/>
          <w:b w:val="0"/>
          <w:sz w:val="24"/>
        </w:rPr>
        <w:t>5. 9月9日，学院按最终综合成绩排名确定拟推免学生名单。拟推免学生名单、专业考核中各类申请及专家组意见等材料公示3天后上报学校拟推免学生名单。</w:t>
      </w:r>
    </w:p>
    <w:p>
      <w:pPr>
        <w:spacing w:after="80" w:lineRule="auto" w:line="360"/>
        <w:ind w:firstLine="482"/>
        <w:jc w:val="both"/>
      </w:pPr>
      <w:r>
        <w:rPr>
          <w:rFonts w:ascii="Times New Roman" w:hAnsi="Times New Roman" w:eastAsia="宋体"/>
          <w:b w:val="0"/>
          <w:sz w:val="24"/>
        </w:rPr>
        <w:t>6. 9月15日—9月21日，学校推荐工作领导小组审核确定推免生名单，并进行公示。通过“推免服务系统”上报推免生名单。</w:t>
      </w:r>
    </w:p>
    <w:p>
      <w:pPr>
        <w:spacing w:after="80" w:lineRule="auto" w:line="360"/>
        <w:ind w:firstLine="482"/>
        <w:jc w:val="both"/>
      </w:pPr>
      <w:r>
        <w:rPr>
          <w:rFonts w:ascii="Times New Roman" w:hAnsi="Times New Roman" w:eastAsia="宋体"/>
          <w:b w:val="0"/>
          <w:sz w:val="24"/>
        </w:rPr>
        <w:t>7. 9月22日以后，通过上级部门审核的推免生网上注册。获得推荐资格的学生登录“推免服务系统”进行注册报名。</w:t>
      </w:r>
    </w:p>
    <w:p>
      <w:pPr>
        <w:spacing w:before="160" w:after="80" w:lineRule="auto" w:line="360"/>
        <w:jc w:val="left"/>
      </w:pPr>
      <w:r>
        <w:rPr>
          <w:rFonts w:ascii="Times New Roman" w:hAnsi="Times New Roman" w:eastAsia="宋体"/>
          <w:b/>
          <w:sz w:val="28"/>
        </w:rPr>
        <w:t>七、其他</w:t>
      </w:r>
    </w:p>
    <w:p>
      <w:pPr>
        <w:spacing w:after="80" w:lineRule="auto" w:line="360"/>
        <w:ind w:firstLine="482"/>
        <w:jc w:val="both"/>
      </w:pPr>
      <w:r>
        <w:rPr>
          <w:rFonts w:ascii="Times New Roman" w:hAnsi="Times New Roman" w:eastAsia="宋体"/>
          <w:b w:val="0"/>
          <w:sz w:val="24"/>
        </w:rPr>
        <w:t>1. 拟推荐免试人员主动放弃推免资格的，须本人签字确认。</w:t>
      </w:r>
    </w:p>
    <w:p>
      <w:pPr>
        <w:spacing w:after="80" w:lineRule="auto" w:line="360"/>
        <w:ind w:firstLine="482"/>
        <w:jc w:val="both"/>
      </w:pPr>
      <w:r>
        <w:rPr>
          <w:rFonts w:ascii="Times New Roman" w:hAnsi="Times New Roman" w:eastAsia="宋体"/>
          <w:b w:val="0"/>
          <w:sz w:val="24"/>
        </w:rPr>
        <w:t>2. 所有专业考核证明材料均需提供原件及复印件。</w:t>
      </w:r>
    </w:p>
    <w:p>
      <w:pPr>
        <w:spacing w:after="80" w:lineRule="auto" w:line="360"/>
        <w:ind w:firstLine="482"/>
        <w:jc w:val="both"/>
      </w:pPr>
      <w:r>
        <w:rPr>
          <w:rFonts w:ascii="Times New Roman" w:hAnsi="Times New Roman" w:eastAsia="宋体"/>
          <w:b w:val="0"/>
          <w:sz w:val="24"/>
        </w:rPr>
        <w:t>3. 支撑材料请于9月7日15：00前交至数学科学学院313办公室，过时将不再接收。</w:t>
      </w:r>
    </w:p>
    <w:p>
      <w:pPr>
        <w:spacing w:after="80" w:lineRule="auto" w:line="360"/>
        <w:ind w:firstLine="482"/>
        <w:jc w:val="both"/>
      </w:pPr>
      <w:r>
        <w:rPr>
          <w:rFonts w:ascii="Times New Roman" w:hAnsi="Times New Roman" w:eastAsia="宋体"/>
          <w:b w:val="0"/>
          <w:sz w:val="24"/>
        </w:rPr>
        <w:t>4. 根据学校文件要求，凡本校教职工子女参与推免，应如实填写情况说明表，如有隐瞒，视情况给予批评教育直至取消推免资格。</w:t>
      </w:r>
    </w:p>
    <w:p>
      <w:pPr>
        <w:spacing w:after="80" w:lineRule="auto" w:line="360"/>
        <w:ind w:firstLine="482"/>
        <w:jc w:val="both"/>
      </w:pPr>
      <w:r>
        <w:rPr>
          <w:rFonts w:ascii="Times New Roman" w:hAnsi="Times New Roman" w:eastAsia="宋体"/>
          <w:b w:val="0"/>
          <w:sz w:val="24"/>
        </w:rPr>
        <w:t>5. 特殊情况，由学院推荐免试工作领导小组解释并做出决定。</w:t>
      </w:r>
    </w:p>
    <w:p>
      <w:pPr>
        <w:spacing w:after="80" w:lineRule="auto" w:line="360"/>
        <w:ind w:firstLine="482"/>
        <w:jc w:val="both"/>
      </w:pPr>
      <w:r>
        <w:rPr>
          <w:rFonts w:ascii="Times New Roman" w:hAnsi="Times New Roman" w:eastAsia="宋体"/>
          <w:b w:val="0"/>
          <w:sz w:val="24"/>
        </w:rPr>
        <w:t>数学科学学院</w:t>
      </w:r>
    </w:p>
    <w:p>
      <w:pPr>
        <w:spacing w:after="80" w:lineRule="auto" w:line="360"/>
        <w:ind w:firstLine="482"/>
        <w:jc w:val="both"/>
      </w:pPr>
      <w:r>
        <w:rPr>
          <w:rFonts w:ascii="Times New Roman" w:hAnsi="Times New Roman" w:eastAsia="宋体"/>
          <w:b w:val="0"/>
          <w:sz w:val="24"/>
        </w:rPr>
        <w:t>2024年9月3日</w:t>
      </w:r>
    </w:p>
    <w:p>
      <w:pPr>
        <w:spacing w:after="80" w:lineRule="auto" w:line="360"/>
        <w:ind w:firstLine="482"/>
        <w:jc w:val="both"/>
      </w:pPr>
      <w:r>
        <w:rPr>
          <w:rFonts w:ascii="Times New Roman" w:hAnsi="Times New Roman" w:eastAsia="宋体"/>
          <w:b w:val="0"/>
          <w:sz w:val="24"/>
        </w:rPr>
        <w:t>附件：国家级高水平学科竞赛名单</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赛事</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中国“互联网+”大学生创新创业大赛</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“挑战杯”全国大学生课外学术科技作品竞赛</w:t>
            </w:r>
          </w:p>
        </w:tc>
      </w:tr>
      <w:tr>
        <w:tc>
          <w:tcPr>
            <w:tcW w:type="dxa" w:w="4317"/>
          </w:tcPr>
          <w:p>
            <w:pPr>
              <w:spacing w:after="20" w:before="20"/>
            </w:pPr>
            <w:r/>
            <w:r>
              <w:rPr>
                <w:rFonts w:ascii="Times New Roman" w:hAnsi="Times New Roman" w:eastAsia="宋体"/>
                <w:b w:val="0"/>
                <w:sz w:val="21"/>
              </w:rPr>
              <w:t>A1</w:t>
            </w:r>
          </w:p>
        </w:tc>
        <w:tc>
          <w:tcPr>
            <w:tcW w:type="dxa" w:w="4317"/>
          </w:tcPr>
          <w:p>
            <w:pPr>
              <w:spacing w:after="20" w:before="20"/>
            </w:pPr>
            <w:r/>
            <w:r>
              <w:rPr>
                <w:rFonts w:ascii="Times New Roman" w:hAnsi="Times New Roman" w:eastAsia="宋体"/>
                <w:b w:val="0"/>
                <w:sz w:val="21"/>
              </w:rPr>
              <w:t>“挑战杯”中国大学生创业计划大赛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ACM-ICPC国际大学生程序设计竞赛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全国大学生数学建模竞赛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全国大学生电子设计竞赛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全国大学生化学实验邀请赛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全国大学生机械创新设计大赛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全国大学生结构设计竞赛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全国大学生广告艺术大赛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全国大学生智能汽车竞赛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全国大学生电子商务“创新、创意及创业”挑战赛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全国大学生节能减排社会实践与科技竞赛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全国大学生工程训练综合能力竞赛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全国大学生物流设计大赛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外研社全国大学生英语系列赛-英语演讲、英语辩论、英语写作、英语阅读</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全国大学生创新创业训练计划年会展示</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全国大学生机器人大赛-RoboMaster、Robocon</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“西门子杯”中国智能制造挑战赛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全国大学生化工设计竞赛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全国大学生先进成图技术与产品信息建模创新大赛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中国大学生计算机设计大赛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全国大学生市场调查与分析大赛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中国大学生服务外包创新创业大赛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两岸新锐设计竞赛“华灿奖”</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中国高校计算机大赛-大数据挑战赛、团体程序设计天梯赛、移动应术挑战赛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中国机器人大赛暨RoboCup机器人世界杯中国赛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全国大学生信息安全竞赛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全国周培源大学生力学竞赛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中国大学生机械工程创新创意大赛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蓝桥杯全国软件和信息技术专业人才大赛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全国大学生金相技能大赛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“中国软件杯”大学生软件设计大赛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全国大学生光电设计竞赛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全国高校数字艺术设计大赛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中美青年创客大赛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全国大学生地质技能竞赛</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米兰设计周——中国高校设计学科师生优秀作品展</w:t>
            </w:r>
          </w:p>
        </w:tc>
      </w:tr>
      <w:tr>
        <w:tc>
          <w:tcPr>
            <w:tcW w:type="dxa" w:w="4317"/>
          </w:tcPr>
          <w:p>
            <w:pPr>
              <w:spacing w:after="20" w:before="20"/>
            </w:pPr>
            <w:r/>
            <w:r>
              <w:rPr>
                <w:rFonts w:ascii="Times New Roman" w:hAnsi="Times New Roman" w:eastAsia="宋体"/>
                <w:b w:val="0"/>
                <w:sz w:val="21"/>
              </w:rPr>
              <w:t>A2</w:t>
            </w:r>
          </w:p>
        </w:tc>
        <w:tc>
          <w:tcPr>
            <w:tcW w:type="dxa" w:w="4317"/>
          </w:tcPr>
          <w:p>
            <w:pPr>
              <w:spacing w:after="20" w:before="20"/>
            </w:pPr>
            <w:r/>
            <w:r>
              <w:rPr>
                <w:rFonts w:ascii="Times New Roman" w:hAnsi="Times New Roman" w:eastAsia="宋体"/>
                <w:b w:val="0"/>
                <w:sz w:val="21"/>
              </w:rPr>
              <w:t>全国大学生集成电路创新创业大赛省一等奖（美赛M）省二等奖(美赛H)数学建模32国家一等奖国家二等奖、省一等奖国家三等奖省二等奖数学竞赛（预赛）32</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