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智能化设计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 103 人，按序号、姓名、专业、研究方向、备注列出。其中备注栏仅部分人员标注：第 18 黄艳艳、第 19 刘蓝泽标注“本研衔接”，第 20 张卿茹标注“研支团”，其余人员备注为空。专业分布为：艺术学 12 人（序号 1—12），学科教学（美术）8 人（序号 13—20），美术与书法 47 人（序号 21—67），设计学 12 人（序号 68—79），设计 24 人（序号 80—103）。研究方向分布为：艺术理论（艺术史学）8 人（序号 1—8），艺术遗产 4 人（序号 9—12），不区分研究方向 8 人（序号 13—20），美术教育 12 人（序号 21—32），国画 15 人（序号 33—47），油画 12 人（序号 48—59），版画 7 人（序号 60—67），智能化设计 12 人（序号 68—79），视觉传达设计 8 人（序号 80—87），数字媒体艺术 8 人（序号 88—95），环境艺术设计 8 人（序号 96—103）。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俞承雨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王亚宁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盛文馨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葛彬焱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丁文杰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张晰语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艺术理论（艺术史学）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步姝彦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艺术遗产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张煜欣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艺术遗产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朱哲涵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艺术遗产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喻山驿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艺术遗产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郭珂昕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陈攀先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张禾嘉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唐雨杨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黄艳艳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刘蓝泽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研支团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张卿茹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林柯含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周之然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朱家瑶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张译匀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耿睿妍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周维奇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杨超然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吴欣怡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张贺贻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龙湘婕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闻清晓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何沛洋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谢岱璇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王彤文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韩思敏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蒋唯乐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陈培熔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潘欣奕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于艺涵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邓淄化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张舒桐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宁一赫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李千姿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刘玥萌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程安琪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刘芮源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常方圆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邵广斯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郝雅宁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杨梦如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油画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张孜影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余静雅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美术与书法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版画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陈彬焕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朱巧玲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周心韵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陈柏志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高雨竹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彭欣婉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万思佳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张泽誉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杨赛娅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朱智贤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智能化设计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李向慧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汤学烨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袁孟熙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高玲祎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李璇烨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沈甜甜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戴梓青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叶晓芸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陈系情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隋玮琪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肖若然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万映彤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张意强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李沛容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方钰涵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王江帆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赵涵泳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袭睛雯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陈家琪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环境艺术设计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总人数：103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按专业统计：艺术学 12 人；学科教学（美术）8 人；美术与书法 47 人；设计学 12 人；设计 24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按研究方向统计：艺术理论（艺术史学）8 人；艺术遗产 4 人；不区分研究方向 8 人；美术教育 12 人；国画 15 人；油画 12 人；版画 7 人；智能化设计 12 人；视觉传达设计 8 人；数字媒体艺术 8 人；环境艺术设计 8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备注统计：本研衔接 2 人（黄艳艳、刘蓝泽）；研支团 1 人（张卿茹）。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原文未提供排名或评分方式、公示期、联系方式等信息，故未作补充。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