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4B0410">
      <w:pPr>
        <w:spacing w:after="160" w:line="360" w:lineRule="auto" w:before="240"/>
        <w:ind w:firstLine="0"/>
        <w:jc w:val="center"/>
        <w:rPr>
          <w:rFonts w:hint="eastAsia" w:ascii="方正小标宋简体" w:hAnsi="方正小标宋简体" w:eastAsia="方正小标宋简体" w:cs="方正小标宋简体"/>
          <w:sz w:val="44"/>
          <w:szCs w:val="44"/>
        </w:rPr>
      </w:pPr>
      <w:r>
        <w:rPr>
          <w:rFonts w:hint="eastAsia" w:ascii="Times New Roman" w:hAnsi="Times New Roman" w:eastAsia="宋体" w:cs="方正小标宋简体"/>
          <w:b/>
          <w:sz w:val="32"/>
          <w:szCs w:val="44"/>
        </w:rPr>
        <w:t>河北科技大学</w:t>
      </w:r>
      <w:r>
        <w:rPr>
          <w:rFonts w:hint="eastAsia" w:ascii="Times New Roman" w:hAnsi="Times New Roman" w:eastAsia="宋体" w:cs="方正小标宋简体"/>
          <w:b/>
          <w:sz w:val="32"/>
          <w:szCs w:val="44"/>
          <w:lang w:val="en-US" w:eastAsia="zh-CN"/>
        </w:rPr>
        <w:t>纺织服装学院</w:t>
      </w:r>
    </w:p>
    <w:p w14:paraId="31E79E4C">
      <w:pPr>
        <w:spacing w:after="60" w:line="360" w:lineRule="auto" w:before="120"/>
        <w:ind w:firstLine="0"/>
        <w:jc w:val="left"/>
        <w:rPr>
          <w:rFonts w:hint="eastAsia" w:ascii="方正小标宋简体" w:hAnsi="方正小标宋简体" w:eastAsia="方正小标宋简体" w:cs="方正小标宋简体"/>
          <w:sz w:val="44"/>
          <w:szCs w:val="44"/>
        </w:rPr>
      </w:pPr>
      <w:r>
        <w:rPr>
          <w:rFonts w:hint="eastAsia" w:ascii="Times New Roman" w:hAnsi="Times New Roman" w:eastAsia="宋体" w:cs="方正小标宋简体"/>
          <w:b/>
          <w:sz w:val="24"/>
          <w:szCs w:val="44"/>
        </w:rPr>
        <w:t>推荐优秀应届本科毕业生免试攻读研究生</w:t>
      </w:r>
    </w:p>
    <w:p w14:paraId="1F376670">
      <w:pPr>
        <w:spacing w:after="60" w:line="360" w:lineRule="auto" w:before="120"/>
        <w:ind w:firstLine="0"/>
        <w:jc w:val="left"/>
        <w:rPr>
          <w:rFonts w:hint="eastAsia" w:ascii="方正小标宋简体" w:hAnsi="方正小标宋简体" w:eastAsia="方正小标宋简体" w:cs="方正小标宋简体"/>
          <w:sz w:val="44"/>
          <w:szCs w:val="44"/>
        </w:rPr>
      </w:pPr>
      <w:r>
        <w:rPr>
          <w:rFonts w:hint="eastAsia" w:ascii="Times New Roman" w:hAnsi="Times New Roman" w:eastAsia="宋体" w:cs="方正小标宋简体"/>
          <w:b/>
          <w:sz w:val="24"/>
          <w:szCs w:val="44"/>
        </w:rPr>
        <w:t>实施细则</w:t>
      </w:r>
    </w:p>
    <w:p w14:paraId="74400621">
      <w:pPr>
        <w:spacing w:after="0" w:line="560" w:lineRule="exact"/>
        <w:ind w:firstLine="640" w:firstLineChars="200"/>
        <w:jc w:val="both"/>
        <w:rPr>
          <w:rFonts w:hint="eastAsia" w:ascii="Times New Roman" w:hAnsi="Times New Roman" w:eastAsia="仿宋_GB2312" w:cs="Times New Roman"/>
          <w:sz w:val="32"/>
          <w:szCs w:val="32"/>
        </w:rPr>
      </w:pPr>
    </w:p>
    <w:p w14:paraId="65F2C5E1">
      <w:pPr>
        <w:spacing w:after="80" w:line="360" w:lineRule="auto" w:before="0"/>
        <w:ind w:firstLineChars="200" w:firstLine="482"/>
        <w:jc w:val="both"/>
        <w:rPr>
          <w:rFonts w:ascii="Times New Roman" w:hAnsi="Times New Roman" w:eastAsia="仿宋_GB2312" w:cs="Times New Roman"/>
          <w:sz w:val="32"/>
          <w:szCs w:val="32"/>
        </w:rPr>
      </w:pPr>
      <w:r>
        <w:rPr>
          <w:rFonts w:hint="eastAsia" w:ascii="Times New Roman" w:hAnsi="Times New Roman" w:eastAsia="宋体" w:cs="Times New Roman"/>
          <w:b w:val="0"/>
          <w:sz w:val="24"/>
          <w:szCs w:val="32"/>
        </w:rPr>
        <w:t>为加强学院推荐优秀应届本科毕业生免试攻读研究生（以下简称“推免工作”）工作管理，充分保障学生权益，确保推免工作公平公正，根据《河北科技大学关于推荐优秀应届本科毕业生免试攻读研究生工作办法》和《河北科技大学推荐优秀应届本科毕业生免试攻读研究生附加成绩认定办法》</w:t>
      </w:r>
      <w:r>
        <w:rPr>
          <w:rFonts w:hint="eastAsia" w:ascii="Times New Roman" w:hAnsi="Times New Roman" w:eastAsia="宋体" w:cs="Times New Roman"/>
          <w:b w:val="0"/>
          <w:sz w:val="24"/>
          <w:szCs w:val="32"/>
          <w:lang w:val="en-US" w:eastAsia="zh-CN"/>
        </w:rPr>
        <w:t>，</w:t>
      </w:r>
      <w:r>
        <w:rPr>
          <w:rFonts w:hint="eastAsia" w:ascii="Times New Roman" w:hAnsi="Times New Roman" w:eastAsia="宋体" w:cs="Times New Roman"/>
          <w:b w:val="0"/>
          <w:sz w:val="24"/>
          <w:szCs w:val="32"/>
        </w:rPr>
        <w:t>结合学院实际，特制定本细则。</w:t>
      </w:r>
    </w:p>
    <w:p w14:paraId="2D9E2C05">
      <w:pPr>
        <w:spacing w:after="80" w:line="360" w:lineRule="auto" w:before="160"/>
        <w:ind w:firstLineChars="200" w:firstLine="0"/>
        <w:jc w:val="left"/>
        <w:outlineLvl w:val="1"/>
        <w:rPr>
          <w:rFonts w:hint="eastAsia" w:ascii="黑体" w:hAnsi="黑体" w:eastAsia="黑体" w:cs="黑体"/>
          <w:b/>
          <w:bCs/>
          <w:sz w:val="32"/>
          <w:szCs w:val="32"/>
          <w14:ligatures w14:val="none"/>
        </w:rPr>
      </w:pPr>
      <w:r>
        <w:rPr>
          <w:rFonts w:hint="eastAsia" w:ascii="Times New Roman" w:hAnsi="Times New Roman" w:eastAsia="宋体" w:cs="黑体"/>
          <w:b/>
          <w:bCs/>
          <w:sz w:val="28"/>
          <w:szCs w:val="32"/>
          <w14:ligatures w14:val="none"/>
        </w:rPr>
        <w:t>一、基本原则</w:t>
      </w:r>
    </w:p>
    <w:p w14:paraId="280B8925">
      <w:pPr>
        <w:spacing w:after="80" w:line="360" w:lineRule="auto" w:before="0"/>
        <w:ind w:firstLineChars="200" w:firstLine="482"/>
        <w:jc w:val="both"/>
        <w:rPr>
          <w:rFonts w:ascii="Times New Roman" w:hAnsi="Times New Roman" w:eastAsia="仿宋_GB2312" w:cs="Times New Roman"/>
          <w:sz w:val="32"/>
          <w:szCs w:val="32"/>
        </w:rPr>
      </w:pPr>
      <w:r>
        <w:rPr>
          <w:rFonts w:ascii="Times New Roman" w:hAnsi="Times New Roman" w:eastAsia="宋体" w:cs="Times New Roman"/>
          <w:b w:val="0"/>
          <w:sz w:val="24"/>
          <w:szCs w:val="32"/>
        </w:rPr>
        <w:t>立足新时代国家重大发展战略对高层次创新人才的迫切需要</w:t>
      </w:r>
      <w:r>
        <w:rPr>
          <w:rFonts w:hint="eastAsia" w:ascii="Times New Roman" w:hAnsi="Times New Roman" w:eastAsia="宋体" w:cs="Times New Roman"/>
          <w:b w:val="0"/>
          <w:sz w:val="24"/>
          <w:szCs w:val="32"/>
        </w:rPr>
        <w:t>，牢牢把握服务国家战略的工作定位和目标导向，坚持公开、公平、多维考察、能力导向、择优遴选、保证质量的原则，选拔具有扎实专业基础和突出创新潜质的优秀应届本科毕业生。</w:t>
      </w:r>
    </w:p>
    <w:p w14:paraId="5D99154D">
      <w:pPr>
        <w:spacing w:after="80" w:line="360" w:lineRule="auto" w:before="0"/>
        <w:ind w:firstLineChars="200" w:firstLine="482"/>
        <w:jc w:val="both"/>
        <w:rPr>
          <w:rFonts w:ascii="Times New Roman" w:hAnsi="Times New Roman" w:eastAsia="仿宋_GB2312" w:cs="Times New Roman"/>
          <w:sz w:val="32"/>
          <w:szCs w:val="32"/>
        </w:rPr>
      </w:pPr>
      <w:r>
        <w:rPr>
          <w:rFonts w:hint="eastAsia" w:ascii="Times New Roman" w:hAnsi="Times New Roman" w:eastAsia="宋体" w:cs="Times New Roman"/>
          <w:b w:val="0"/>
          <w:sz w:val="24"/>
          <w:szCs w:val="32"/>
        </w:rPr>
        <w:t>本办法适用对象为河北科技大学纳入国家普通本科招生计划录取的应届毕业生（不含专升本、双学位、第二学士学位、对口招生等，以及依据国家政策不予推免的学生）。</w:t>
      </w:r>
    </w:p>
    <w:p w14:paraId="54D3020A">
      <w:pPr>
        <w:spacing w:after="80" w:line="360" w:lineRule="auto" w:before="160"/>
        <w:ind w:firstLineChars="200" w:firstLine="0"/>
        <w:jc w:val="left"/>
        <w:outlineLvl w:val="1"/>
        <w:rPr>
          <w:rFonts w:hint="eastAsia" w:ascii="黑体" w:hAnsi="黑体" w:eastAsia="黑体" w:cs="黑体"/>
          <w:b/>
          <w:bCs/>
          <w:sz w:val="32"/>
          <w:szCs w:val="32"/>
          <w14:ligatures w14:val="none"/>
        </w:rPr>
      </w:pPr>
      <w:r>
        <w:rPr>
          <w:rFonts w:hint="eastAsia" w:ascii="Times New Roman" w:hAnsi="Times New Roman" w:eastAsia="宋体" w:cs="黑体"/>
          <w:b/>
          <w:bCs/>
          <w:sz w:val="28"/>
          <w:szCs w:val="32"/>
          <w14:ligatures w14:val="none"/>
        </w:rPr>
        <w:t>二、组织机构</w:t>
      </w:r>
    </w:p>
    <w:p w14:paraId="3E021605">
      <w:pPr>
        <w:spacing w:after="80" w:line="360" w:lineRule="auto" w:before="0"/>
        <w:ind w:firstLineChars="200" w:firstLine="482"/>
        <w:jc w:val="both"/>
        <w:rPr>
          <w:rFonts w:hint="eastAsia" w:ascii="Times New Roman" w:hAnsi="Times New Roman" w:eastAsia="仿宋_GB2312" w:cs="Times New Roman"/>
          <w:sz w:val="32"/>
          <w:szCs w:val="32"/>
          <w:lang w:eastAsia="zh-CN"/>
        </w:rPr>
      </w:pPr>
      <w:r>
        <w:rPr>
          <w:rFonts w:hint="eastAsia" w:ascii="Times New Roman" w:hAnsi="Times New Roman" w:eastAsia="宋体"/>
          <w:b w:val="0"/>
          <w:sz w:val="24"/>
          <w:szCs w:val="32"/>
        </w:rPr>
        <w:t>学院成立推免工作小组，由各学院党组织书记、院长任组长，主管本科生教学工作、研究生教育工作及科研管理工作的副院长和主管学生工作的副书记任副组长，成员由教师代表、辅导员、学生代表等组成，研究审定各专业推免名额分配等重要事宜</w:t>
      </w:r>
      <w:r>
        <w:rPr>
          <w:rFonts w:hint="eastAsia" w:ascii="Times New Roman" w:hAnsi="Times New Roman" w:eastAsia="宋体"/>
          <w:b w:val="0"/>
          <w:sz w:val="24"/>
          <w:szCs w:val="32"/>
          <w:lang w:eastAsia="zh-CN"/>
        </w:rPr>
        <w:t>。</w:t>
      </w:r>
      <w:bookmarkStart w:id="7" w:name="_GoBack"/>
      <w:bookmarkEnd w:id="7"/>
    </w:p>
    <w:p w14:paraId="1F2F687E">
      <w:pPr>
        <w:spacing w:after="80" w:line="360" w:lineRule="auto" w:before="0"/>
        <w:ind w:firstLineChars="200" w:firstLine="482"/>
        <w:jc w:val="both"/>
        <w:rPr>
          <w:rFonts w:ascii="Times New Roman" w:hAnsi="Times New Roman" w:eastAsia="仿宋_GB2312" w:cs="Times New Roman"/>
          <w:sz w:val="32"/>
          <w:szCs w:val="32"/>
        </w:rPr>
      </w:pPr>
      <w:r>
        <w:rPr>
          <w:rFonts w:hint="eastAsia" w:ascii="Times New Roman" w:hAnsi="Times New Roman" w:eastAsia="宋体" w:cs="Times New Roman"/>
          <w:b w:val="0"/>
          <w:sz w:val="24"/>
          <w:szCs w:val="32"/>
        </w:rPr>
        <w:t>下设综合评定小组及专家评审小组，综合评定小组由学院教务工作人员、推免年级辅导员、</w:t>
      </w:r>
      <w:r>
        <w:rPr>
          <w:rFonts w:hint="eastAsia" w:ascii="Times New Roman" w:hAnsi="Times New Roman" w:eastAsia="宋体" w:cs="Times New Roman"/>
          <w:b w:val="0"/>
          <w:sz w:val="24"/>
          <w:szCs w:val="32"/>
          <w:lang w:val="en-US" w:eastAsia="zh-CN"/>
        </w:rPr>
        <w:t>科研管理工作人员等</w:t>
      </w:r>
      <w:r>
        <w:rPr>
          <w:rFonts w:hint="eastAsia" w:ascii="Times New Roman" w:hAnsi="Times New Roman" w:eastAsia="宋体" w:cs="Times New Roman"/>
          <w:b w:val="0"/>
          <w:sz w:val="24"/>
          <w:szCs w:val="32"/>
        </w:rPr>
        <w:t>组成，工作职责为：</w:t>
      </w:r>
      <w:r>
        <w:rPr>
          <w:rFonts w:hint="eastAsia" w:ascii="Times New Roman" w:hAnsi="Times New Roman" w:eastAsia="宋体"/>
          <w:b w:val="0"/>
          <w:sz w:val="24"/>
          <w:szCs w:val="32"/>
        </w:rPr>
        <w:t>负责推免工作的具体组织、协调、复议</w:t>
      </w:r>
      <w:r>
        <w:rPr>
          <w:rFonts w:hint="eastAsia" w:ascii="Times New Roman" w:hAnsi="Times New Roman" w:eastAsia="宋体"/>
          <w:b w:val="0"/>
          <w:sz w:val="24"/>
          <w:szCs w:val="32"/>
          <w:lang w:val="en-US" w:eastAsia="zh-CN"/>
        </w:rPr>
        <w:t>及</w:t>
      </w:r>
      <w:r>
        <w:rPr>
          <w:rFonts w:hint="eastAsia" w:ascii="Times New Roman" w:hAnsi="Times New Roman" w:eastAsia="宋体" w:cs="Times New Roman"/>
          <w:b w:val="0"/>
          <w:sz w:val="24"/>
          <w:szCs w:val="32"/>
        </w:rPr>
        <w:t>综合测评成绩核算等工作。专家评审小组由学院具有副高级及以上职称的教师组成，组成人员不少于5人，工作职责为</w:t>
      </w:r>
      <w:r>
        <w:rPr>
          <w:rFonts w:hint="eastAsia" w:ascii="Times New Roman" w:hAnsi="Times New Roman" w:eastAsia="宋体" w:cs="Times New Roman"/>
          <w:b w:val="0"/>
          <w:sz w:val="24"/>
          <w:szCs w:val="32"/>
          <w:lang w:eastAsia="zh-CN"/>
        </w:rPr>
        <w:t>：</w:t>
      </w:r>
      <w:r>
        <w:rPr>
          <w:rFonts w:hint="eastAsia" w:ascii="Times New Roman" w:hAnsi="Times New Roman" w:eastAsia="宋体"/>
          <w:b w:val="0"/>
          <w:sz w:val="24"/>
          <w:szCs w:val="32"/>
        </w:rPr>
        <w:t>负责学科竞赛获奖、</w:t>
      </w:r>
      <w:r>
        <w:rPr>
          <w:rFonts w:ascii="Times New Roman" w:hAnsi="Times New Roman" w:eastAsia="宋体"/>
          <w:b w:val="0"/>
          <w:sz w:val="24"/>
          <w:szCs w:val="32"/>
        </w:rPr>
        <w:t>科研创新成果</w:t>
      </w:r>
      <w:r>
        <w:rPr>
          <w:rFonts w:hint="eastAsia" w:ascii="Times New Roman" w:hAnsi="Times New Roman" w:eastAsia="宋体"/>
          <w:b w:val="0"/>
          <w:sz w:val="24"/>
          <w:szCs w:val="32"/>
        </w:rPr>
        <w:t>等学术成果的认定。</w:t>
      </w:r>
    </w:p>
    <w:p w14:paraId="17773C2A">
      <w:pPr>
        <w:spacing w:after="80" w:line="360" w:lineRule="auto" w:before="160"/>
        <w:ind w:firstLineChars="200" w:firstLine="0"/>
        <w:jc w:val="left"/>
        <w:outlineLvl w:val="1"/>
        <w:rPr>
          <w:rFonts w:hint="eastAsia" w:ascii="黑体" w:hAnsi="黑体" w:eastAsia="黑体" w:cs="黑体"/>
          <w:b/>
          <w:bCs/>
          <w:sz w:val="32"/>
          <w:szCs w:val="32"/>
          <w14:ligatures w14:val="none"/>
        </w:rPr>
      </w:pPr>
      <w:r>
        <w:rPr>
          <w:rFonts w:hint="eastAsia" w:ascii="Times New Roman" w:hAnsi="Times New Roman" w:eastAsia="宋体" w:cs="黑体"/>
          <w:b/>
          <w:bCs/>
          <w:sz w:val="28"/>
          <w:szCs w:val="32"/>
          <w14:ligatures w14:val="none"/>
        </w:rPr>
        <w:t>三、推荐条件</w:t>
      </w:r>
    </w:p>
    <w:p w14:paraId="544BCBEE">
      <w:pPr>
        <w:spacing w:after="80" w:line="360" w:lineRule="auto" w:before="0"/>
        <w:ind w:firstLineChars="200" w:firstLine="482"/>
        <w:jc w:val="both"/>
        <w:rPr>
          <w:rFonts w:ascii="Times New Roman" w:hAnsi="Times New Roman" w:eastAsia="仿宋_GB2312" w:cs="Times New Roman"/>
          <w:sz w:val="32"/>
          <w:szCs w:val="32"/>
        </w:rPr>
      </w:pPr>
      <w:r>
        <w:rPr>
          <w:rFonts w:hint="eastAsia" w:ascii="Times New Roman" w:hAnsi="Times New Roman" w:eastAsia="宋体" w:cs="Times New Roman"/>
          <w:b w:val="0"/>
          <w:sz w:val="24"/>
          <w:szCs w:val="32"/>
        </w:rPr>
        <w:t>（一）具有高尚的爱国主义情操和集体主义精神，拥护中国共产党的领导，社会主义信念坚定，积极践行社会主义核心价值观，社会责任感强，道德品质高尚，思想积极向上，身心健康；</w:t>
      </w:r>
    </w:p>
    <w:p w14:paraId="7ADB5DE5">
      <w:pPr>
        <w:spacing w:after="80" w:line="360" w:lineRule="auto" w:before="160"/>
        <w:ind w:firstLineChars="200" w:firstLine="0"/>
        <w:jc w:val="left"/>
        <w:rPr>
          <w:rFonts w:ascii="Times New Roman" w:hAnsi="Times New Roman" w:eastAsia="仿宋_GB2312" w:cs="Times New Roman"/>
          <w:sz w:val="32"/>
          <w:szCs w:val="32"/>
        </w:rPr>
      </w:pPr>
      <w:r>
        <w:rPr>
          <w:rFonts w:hint="eastAsia" w:ascii="Times New Roman" w:hAnsi="Times New Roman" w:eastAsia="宋体" w:cs="Times New Roman"/>
          <w:b/>
          <w:sz w:val="28"/>
          <w:szCs w:val="32"/>
        </w:rPr>
        <w:t>（二）遵守国家法律法规以及学校规章制度，诚实守信，品行优良，无任何考试违纪、作弊行为和学术诚信问题，无任何违法违纪受处分记录；</w:t>
      </w:r>
    </w:p>
    <w:p w14:paraId="4CAE24BC">
      <w:pPr>
        <w:spacing w:after="80" w:line="360" w:lineRule="auto" w:before="160"/>
        <w:ind w:firstLineChars="200" w:firstLine="0"/>
        <w:jc w:val="left"/>
        <w:rPr>
          <w:rFonts w:ascii="Times New Roman" w:hAnsi="Times New Roman" w:eastAsia="仿宋_GB2312" w:cs="Times New Roman"/>
          <w:sz w:val="32"/>
          <w:szCs w:val="32"/>
        </w:rPr>
      </w:pPr>
      <w:r>
        <w:rPr>
          <w:rFonts w:hint="eastAsia" w:ascii="Times New Roman" w:hAnsi="Times New Roman" w:eastAsia="宋体" w:cs="Times New Roman"/>
          <w:b/>
          <w:sz w:val="28"/>
          <w:szCs w:val="32"/>
        </w:rPr>
        <w:t>（三）热爱所学专业，学风端正，勤奋学习，刻苦钻研，成绩优秀，学术研究兴趣浓厚，有较强的创新意识和创新能力，有志于在国内继续深造；</w:t>
      </w:r>
    </w:p>
    <w:p w14:paraId="4FC41497">
      <w:pPr>
        <w:spacing w:after="80" w:line="360" w:lineRule="auto" w:before="0"/>
        <w:ind w:firstLineChars="200" w:firstLine="482"/>
        <w:jc w:val="both"/>
        <w:rPr>
          <w:rFonts w:ascii="Times New Roman" w:hAnsi="Times New Roman" w:eastAsia="仿宋_GB2312" w:cs="Times New Roman"/>
          <w:sz w:val="32"/>
          <w:szCs w:val="32"/>
        </w:rPr>
      </w:pPr>
      <w:r>
        <w:rPr>
          <w:rFonts w:hint="eastAsia" w:ascii="Times New Roman" w:hAnsi="Times New Roman" w:eastAsia="宋体" w:cs="Times New Roman"/>
          <w:b w:val="0"/>
          <w:sz w:val="24"/>
          <w:szCs w:val="32"/>
        </w:rPr>
        <w:t>（四）推免工作资格认定前修完前六学期培养方案规定的必修课、学位课各门课程，获得全部学分，未出现过不及格课程，或仅出现过一门不及格课程且一次性通过补考或重修，转专业的学生，按转入后的专业培养方案核算；</w:t>
      </w:r>
    </w:p>
    <w:p w14:paraId="3056CBF5">
      <w:pPr>
        <w:spacing w:after="80" w:line="360" w:lineRule="auto" w:before="0"/>
        <w:ind w:firstLineChars="200" w:firstLine="482"/>
        <w:jc w:val="both"/>
        <w:rPr>
          <w:rFonts w:ascii="Times New Roman" w:hAnsi="Times New Roman" w:eastAsia="仿宋_GB2312" w:cs="Times New Roman"/>
          <w:sz w:val="32"/>
          <w:szCs w:val="32"/>
        </w:rPr>
      </w:pPr>
      <w:r>
        <w:rPr>
          <w:rFonts w:hint="eastAsia" w:ascii="Times New Roman" w:hAnsi="Times New Roman" w:eastAsia="宋体" w:cs="Times New Roman"/>
          <w:b w:val="0"/>
          <w:sz w:val="24"/>
          <w:szCs w:val="32"/>
        </w:rPr>
        <w:t>（五）学业成绩位列本专业前20%（含）。学业成绩是指学生所学专业培养方案规定的前三学年的全部必修课和学位课（不含军事理论、军事训练及体育成绩）的正考加权平均成绩。</w:t>
      </w:r>
    </w:p>
    <w:p w14:paraId="0CDB4D73">
      <w:pPr>
        <w:spacing w:after="80" w:line="360" w:lineRule="auto" w:before="0"/>
        <w:ind w:firstLineChars="200" w:firstLine="482"/>
        <w:jc w:val="both"/>
        <w:rPr>
          <w:rFonts w:ascii="Times New Roman" w:hAnsi="Times New Roman" w:eastAsia="仿宋_GB2312" w:cs="Times New Roman"/>
          <w:sz w:val="32"/>
          <w:szCs w:val="32"/>
        </w:rPr>
      </w:pPr>
      <w:r>
        <w:rPr>
          <w:rFonts w:hint="eastAsia" w:ascii="Times New Roman" w:hAnsi="Times New Roman" w:eastAsia="宋体" w:cs="Times New Roman"/>
          <w:b w:val="0"/>
          <w:sz w:val="24"/>
          <w:szCs w:val="32"/>
        </w:rPr>
        <w:t>（六）本科生作为主力队员（前三名）参加学校组织报名的竞赛，荣获学校相关文件中认定的一类竞赛A级最高奖项且学业成绩排名在前15%（含15%），可经本人申请，直接获得推免资格，占全校指标。</w:t>
      </w:r>
    </w:p>
    <w:p w14:paraId="5436E747">
      <w:pPr>
        <w:spacing w:after="80" w:line="360" w:lineRule="auto" w:before="160"/>
        <w:ind w:firstLineChars="200" w:firstLine="0"/>
        <w:jc w:val="left"/>
        <w:outlineLvl w:val="1"/>
        <w:rPr>
          <w:rFonts w:hint="eastAsia" w:ascii="黑体" w:hAnsi="黑体" w:eastAsia="黑体" w:cs="黑体"/>
          <w:b/>
          <w:bCs/>
          <w:sz w:val="32"/>
          <w:szCs w:val="32"/>
          <w14:ligatures w14:val="none"/>
        </w:rPr>
      </w:pPr>
      <w:r>
        <w:rPr>
          <w:rFonts w:hint="eastAsia" w:ascii="Times New Roman" w:hAnsi="Times New Roman" w:eastAsia="宋体" w:cs="黑体"/>
          <w:b/>
          <w:bCs/>
          <w:sz w:val="28"/>
          <w:szCs w:val="32"/>
          <w14:ligatures w14:val="none"/>
        </w:rPr>
        <w:t>四、推荐程序</w:t>
      </w:r>
    </w:p>
    <w:p w14:paraId="595378F7">
      <w:pPr>
        <w:spacing w:after="80" w:line="360" w:lineRule="auto" w:before="160"/>
        <w:ind w:firstLineChars="200" w:firstLine="0"/>
        <w:jc w:val="left"/>
        <w:rPr>
          <w:rFonts w:ascii="Times New Roman" w:hAnsi="Times New Roman" w:eastAsia="仿宋_GB2312" w:cs="Times New Roman"/>
          <w:sz w:val="32"/>
          <w:szCs w:val="32"/>
        </w:rPr>
      </w:pPr>
      <w:r>
        <w:rPr>
          <w:rFonts w:hint="eastAsia" w:ascii="Times New Roman" w:hAnsi="Times New Roman" w:eastAsia="宋体" w:cs="Times New Roman"/>
          <w:b/>
          <w:sz w:val="28"/>
          <w:szCs w:val="32"/>
        </w:rPr>
        <w:t>（一）学院推免工作领导小组制定年度推免工作方案（包括各专业推免名额），并向全体学生进行公示，做好推免的宣传宣讲工作，确保推免工作公开、公平、公正。</w:t>
      </w:r>
    </w:p>
    <w:p w14:paraId="72548454">
      <w:pPr>
        <w:spacing w:after="80" w:line="360" w:lineRule="auto" w:before="160"/>
        <w:ind w:firstLineChars="200" w:firstLine="0"/>
        <w:jc w:val="left"/>
        <w:rPr>
          <w:rFonts w:ascii="Times New Roman" w:hAnsi="Times New Roman" w:eastAsia="仿宋_GB2312" w:cs="Times New Roman"/>
          <w:sz w:val="32"/>
          <w:szCs w:val="32"/>
        </w:rPr>
      </w:pPr>
      <w:r>
        <w:rPr>
          <w:rFonts w:hint="eastAsia" w:ascii="Times New Roman" w:hAnsi="Times New Roman" w:eastAsia="宋体" w:cs="Times New Roman"/>
          <w:b/>
          <w:sz w:val="28"/>
          <w:szCs w:val="32"/>
        </w:rPr>
        <w:t>（二）学院公布学生学业成绩及排名。</w:t>
      </w:r>
    </w:p>
    <w:p w14:paraId="2F657A3C">
      <w:pPr>
        <w:spacing w:after="80" w:line="360" w:lineRule="auto" w:before="160"/>
        <w:ind w:firstLineChars="200" w:firstLine="0"/>
        <w:jc w:val="left"/>
        <w:rPr>
          <w:rFonts w:ascii="Times New Roman" w:hAnsi="Times New Roman" w:eastAsia="仿宋_GB2312" w:cs="Times New Roman"/>
          <w:sz w:val="32"/>
          <w:szCs w:val="32"/>
        </w:rPr>
      </w:pPr>
      <w:r>
        <w:rPr>
          <w:rFonts w:hint="eastAsia" w:ascii="Times New Roman" w:hAnsi="Times New Roman" w:eastAsia="宋体" w:cs="Times New Roman"/>
          <w:b/>
          <w:sz w:val="28"/>
          <w:szCs w:val="32"/>
        </w:rPr>
        <w:t>（三）学生按要求向学院提出书面申请。</w:t>
      </w:r>
    </w:p>
    <w:p w14:paraId="630F230A">
      <w:pPr>
        <w:spacing w:after="80" w:line="360" w:lineRule="auto" w:before="0"/>
        <w:ind w:firstLineChars="200" w:firstLine="482"/>
        <w:jc w:val="both"/>
        <w:rPr>
          <w:rFonts w:ascii="Times New Roman" w:hAnsi="Times New Roman" w:eastAsia="仿宋_GB2312" w:cs="Times New Roman"/>
          <w:sz w:val="32"/>
          <w:szCs w:val="32"/>
        </w:rPr>
      </w:pPr>
      <w:r>
        <w:rPr>
          <w:rFonts w:hint="eastAsia" w:ascii="Times New Roman" w:hAnsi="Times New Roman" w:eastAsia="宋体" w:cs="Times New Roman"/>
          <w:b w:val="0"/>
          <w:sz w:val="24"/>
          <w:szCs w:val="32"/>
        </w:rPr>
        <w:t>符合推免条件的本科生填写《河北科技大学推荐免试攻读硕士研究生资格申请审批表》并提交相关佐证（包括竞赛获奖证书、专利证书、论文复印件等），个人签字后在规定期限内提交学院教学工作办公室。</w:t>
      </w:r>
    </w:p>
    <w:p w14:paraId="56C02F44">
      <w:pPr>
        <w:spacing w:after="80" w:line="360" w:lineRule="auto" w:before="0"/>
        <w:ind w:firstLineChars="200" w:firstLine="482"/>
        <w:jc w:val="both"/>
        <w:rPr>
          <w:rFonts w:ascii="Times New Roman" w:hAnsi="Times New Roman" w:eastAsia="仿宋_GB2312" w:cs="Times New Roman"/>
          <w:sz w:val="32"/>
          <w:szCs w:val="32"/>
        </w:rPr>
      </w:pPr>
      <w:r>
        <w:rPr>
          <w:rFonts w:hint="eastAsia" w:ascii="Times New Roman" w:hAnsi="Times New Roman" w:eastAsia="宋体" w:cs="Times New Roman"/>
          <w:b w:val="0"/>
          <w:sz w:val="24"/>
          <w:szCs w:val="32"/>
        </w:rPr>
        <w:t>（四）学院综合评定小组对申请推免资格的本科生进行综合评定。由学院综合评定小组从政治态度、思想表现、道德品质、科学精神、诚实守信、遵纪守法等方面对申请推免资格本科生进行综合评定，综合评定格次为：合格和不合格，不合格者不予推荐。</w:t>
      </w:r>
    </w:p>
    <w:p w14:paraId="25E22E7A">
      <w:pPr>
        <w:spacing w:after="80" w:line="360" w:lineRule="auto" w:before="0"/>
        <w:ind w:firstLineChars="200" w:firstLine="482"/>
        <w:jc w:val="both"/>
        <w:rPr>
          <w:rFonts w:ascii="Times New Roman" w:hAnsi="Times New Roman" w:eastAsia="仿宋_GB2312" w:cs="Times New Roman"/>
          <w:sz w:val="32"/>
          <w:szCs w:val="32"/>
        </w:rPr>
      </w:pPr>
      <w:r>
        <w:rPr>
          <w:rFonts w:hint="eastAsia" w:ascii="Times New Roman" w:hAnsi="Times New Roman" w:eastAsia="宋体" w:cs="Times New Roman"/>
          <w:b w:val="0"/>
          <w:sz w:val="24"/>
          <w:szCs w:val="32"/>
        </w:rPr>
        <w:t>（五）学院组织申请附加成绩加分的学生进行公开答辩。专家评审小组对申请学生的竞赛获奖奖项及内容、科研创新成果进行审核评定，认定其附加成绩。从严把握受社会质疑较多的赛事、刊物，评价重点聚焦到创新质量和个人贡献，排除抄袭、造假、冒名和有名无实等情况。每位专家评审小组成员均要给出明确审核鉴定意见并签字存档，答辩过程要全程录音录像，答辩结果要进行公示，未通过审核鉴定或答辩的，不得纳入推免附加成绩计算体系，对于弄虚作假等存在学术不端的学生中止推免资格。</w:t>
      </w:r>
    </w:p>
    <w:p w14:paraId="711DD1F0">
      <w:pPr>
        <w:spacing w:after="80" w:line="360" w:lineRule="auto" w:before="160"/>
        <w:ind w:firstLineChars="200" w:firstLine="0"/>
        <w:jc w:val="left"/>
        <w:rPr>
          <w:rFonts w:ascii="Times New Roman" w:hAnsi="Times New Roman" w:eastAsia="仿宋_GB2312" w:cs="Times New Roman"/>
          <w:sz w:val="32"/>
          <w:szCs w:val="32"/>
        </w:rPr>
      </w:pPr>
      <w:r>
        <w:rPr>
          <w:rFonts w:hint="eastAsia" w:ascii="Times New Roman" w:hAnsi="Times New Roman" w:eastAsia="宋体" w:cs="Times New Roman"/>
          <w:b/>
          <w:sz w:val="28"/>
          <w:szCs w:val="32"/>
        </w:rPr>
        <w:t>（六）学院公布附加成绩及推免成绩。</w:t>
      </w:r>
    </w:p>
    <w:p w14:paraId="200BD94D">
      <w:pPr>
        <w:spacing w:after="80" w:line="360" w:lineRule="auto" w:before="0"/>
        <w:ind w:firstLineChars="200" w:firstLine="482"/>
        <w:jc w:val="both"/>
        <w:rPr>
          <w:rFonts w:ascii="Times New Roman" w:hAnsi="Times New Roman" w:eastAsia="仿宋_GB2312" w:cs="Times New Roman"/>
          <w:sz w:val="32"/>
          <w:szCs w:val="32"/>
        </w:rPr>
      </w:pPr>
      <w:r>
        <w:rPr>
          <w:rFonts w:hint="eastAsia" w:ascii="Times New Roman" w:hAnsi="Times New Roman" w:eastAsia="宋体" w:cs="Times New Roman"/>
          <w:b w:val="0"/>
          <w:sz w:val="24"/>
          <w:szCs w:val="32"/>
        </w:rPr>
        <w:t>学院公示拟推荐本科生名单及候补名单（2人），公示期为3个工作日，公示无异议后，向学校推免工作领导小组上报拟推荐名单。</w:t>
      </w:r>
    </w:p>
    <w:p w14:paraId="019C3538">
      <w:pPr>
        <w:spacing w:after="80" w:line="360" w:lineRule="auto" w:before="160"/>
        <w:ind w:firstLineChars="200" w:firstLine="0"/>
        <w:jc w:val="left"/>
        <w:rPr>
          <w:rFonts w:ascii="Times New Roman" w:hAnsi="Times New Roman" w:eastAsia="仿宋_GB2312" w:cs="Times New Roman"/>
          <w:sz w:val="32"/>
          <w:szCs w:val="32"/>
        </w:rPr>
      </w:pPr>
      <w:r>
        <w:rPr>
          <w:rFonts w:hint="eastAsia" w:ascii="Times New Roman" w:hAnsi="Times New Roman" w:eastAsia="宋体" w:cs="Times New Roman"/>
          <w:b/>
          <w:sz w:val="28"/>
          <w:szCs w:val="32"/>
        </w:rPr>
        <w:t>（七）获得推免资格的本科生，在毕业前有以下情形者，将取消其推免资格：</w:t>
      </w:r>
    </w:p>
    <w:p w14:paraId="60B25B71">
      <w:pPr>
        <w:spacing w:after="80" w:line="360" w:lineRule="auto" w:before="160"/>
        <w:ind w:firstLineChars="200" w:firstLine="0"/>
        <w:jc w:val="left"/>
        <w:rPr>
          <w:rFonts w:ascii="Times New Roman" w:hAnsi="Times New Roman" w:eastAsia="仿宋_GB2312" w:cs="Times New Roman"/>
          <w:sz w:val="32"/>
          <w:szCs w:val="32"/>
        </w:rPr>
      </w:pPr>
      <w:r>
        <w:rPr>
          <w:rFonts w:hint="eastAsia" w:ascii="Times New Roman" w:hAnsi="Times New Roman" w:eastAsia="宋体" w:cs="Times New Roman"/>
          <w:b/>
          <w:sz w:val="28"/>
          <w:szCs w:val="32"/>
        </w:rPr>
        <w:t>1.受到记过及以上纪律处分、被追究刑事责任或其他学校认为应该取消推免资格的情况；</w:t>
      </w:r>
    </w:p>
    <w:p w14:paraId="356ADD70">
      <w:pPr>
        <w:spacing w:after="80" w:line="360" w:lineRule="auto" w:before="160"/>
        <w:ind w:firstLineChars="200" w:firstLine="0"/>
        <w:jc w:val="left"/>
        <w:rPr>
          <w:rFonts w:ascii="Times New Roman" w:hAnsi="Times New Roman" w:eastAsia="仿宋_GB2312" w:cs="Times New Roman"/>
          <w:sz w:val="32"/>
          <w:szCs w:val="32"/>
        </w:rPr>
      </w:pPr>
      <w:r>
        <w:rPr>
          <w:rFonts w:hint="eastAsia" w:ascii="Times New Roman" w:hAnsi="Times New Roman" w:eastAsia="宋体" w:cs="Times New Roman"/>
          <w:b/>
          <w:sz w:val="28"/>
          <w:szCs w:val="32"/>
        </w:rPr>
        <w:t>2.在推免过程中弄虚作假的。</w:t>
      </w:r>
    </w:p>
    <w:p w14:paraId="5FBDD964">
      <w:pPr>
        <w:spacing w:after="80" w:line="360" w:lineRule="auto" w:before="0"/>
        <w:ind w:firstLineChars="200" w:firstLine="482"/>
        <w:jc w:val="both"/>
        <w:rPr>
          <w:rFonts w:ascii="Times New Roman" w:hAnsi="Times New Roman" w:eastAsia="仿宋_GB2312" w:cs="Times New Roman"/>
          <w:sz w:val="32"/>
          <w:szCs w:val="32"/>
        </w:rPr>
      </w:pPr>
      <w:r>
        <w:rPr>
          <w:rFonts w:hint="eastAsia" w:ascii="Times New Roman" w:hAnsi="Times New Roman" w:eastAsia="宋体" w:cs="Times New Roman"/>
          <w:b w:val="0"/>
          <w:sz w:val="24"/>
          <w:szCs w:val="32"/>
        </w:rPr>
        <w:t>（八）在学院公示结束前，对于本人自愿放弃申请推免资格的本科生应由本人手写书面放弃推免资格承诺书，学生本人、辅导员、院长签字留存备案，而后严格按照推免成绩排名顺序，依次递补。学院不得动员本科生放弃申请推免资格。</w:t>
      </w:r>
    </w:p>
    <w:p w14:paraId="1149CB04">
      <w:pPr>
        <w:spacing w:after="80" w:line="360" w:lineRule="auto" w:before="160"/>
        <w:ind w:firstLineChars="200" w:firstLine="0"/>
        <w:jc w:val="left"/>
        <w:outlineLvl w:val="1"/>
        <w:rPr>
          <w:rFonts w:hint="eastAsia" w:ascii="黑体" w:hAnsi="黑体" w:eastAsia="黑体" w:cs="黑体"/>
          <w:b/>
          <w:bCs/>
          <w:sz w:val="32"/>
          <w:szCs w:val="32"/>
          <w14:ligatures w14:val="none"/>
        </w:rPr>
      </w:pPr>
      <w:r>
        <w:rPr>
          <w:rFonts w:hint="eastAsia" w:ascii="Times New Roman" w:hAnsi="Times New Roman" w:eastAsia="宋体" w:cs="黑体"/>
          <w:b/>
          <w:bCs/>
          <w:sz w:val="28"/>
          <w:szCs w:val="32"/>
          <w14:ligatures w14:val="none"/>
        </w:rPr>
        <w:t>五、名额分配</w:t>
      </w:r>
    </w:p>
    <w:p w14:paraId="56FE0B54">
      <w:pPr>
        <w:numPr>
          <w:ilvl w:val="255"/>
          <w:numId w:val="0"/>
        </w:numPr>
        <w:spacing w:after="80" w:line="360" w:lineRule="auto" w:before="0"/>
        <w:ind w:firstLineChars="200" w:firstLine="482"/>
        <w:jc w:val="both"/>
        <w:rPr>
          <w:rFonts w:hint="eastAsia" w:ascii="仿宋_GB2312" w:eastAsia="仿宋_GB2312"/>
          <w:sz w:val="32"/>
          <w:szCs w:val="32"/>
        </w:rPr>
      </w:pPr>
      <w:r>
        <w:rPr>
          <w:rFonts w:hint="eastAsia" w:ascii="Times New Roman" w:hAnsi="Times New Roman" w:eastAsia="宋体"/>
          <w:b w:val="0"/>
          <w:sz w:val="24"/>
          <w:szCs w:val="32"/>
        </w:rPr>
        <w:t>根据《河北科技大学推荐优秀应届本科毕业生免试攻读研究生工作实施办法》，结合纺织服装学院学科发展需求，根据学校批准下达我院当年的推免生名额，统筹考虑学科专业、各专业应届本科毕业生人数、上学年推免工作等因素，进行分配。优先向双一流建设学科及重点人才培养改革学科、国家一流本科专业等倾斜，推荐名额分配方法如下</w:t>
      </w:r>
      <w:r>
        <w:rPr>
          <w:rFonts w:hint="eastAsia" w:ascii="Times New Roman" w:eastAsia="宋体" w:hAnsi="Times New Roman"/>
          <w:b w:val="0"/>
          <w:sz w:val="24"/>
          <w:szCs w:val="32"/>
        </w:rPr>
        <w:t>：</w:t>
      </w:r>
    </w:p>
    <w:p w14:paraId="6B057C2A">
      <w:pPr>
        <w:numPr>
          <w:ilvl w:val="255"/>
          <w:numId w:val="0"/>
        </w:numPr>
        <w:spacing w:after="80" w:line="360" w:lineRule="auto" w:before="0"/>
        <w:ind w:firstLineChars="200" w:firstLine="482"/>
        <w:jc w:val="both"/>
        <w:rPr>
          <w:rFonts w:hint="eastAsia" w:ascii="仿宋_GB2312" w:eastAsia="仿宋_GB2312"/>
          <w:sz w:val="32"/>
          <w:szCs w:val="32"/>
        </w:rPr>
      </w:pPr>
      <w:r>
        <w:rPr>
          <w:rFonts w:hint="eastAsia" w:ascii="Times New Roman" w:eastAsia="宋体" w:hAnsi="Times New Roman"/>
          <w:b w:val="0"/>
          <w:sz w:val="24"/>
          <w:szCs w:val="32"/>
        </w:rPr>
        <w:t>1.当学院推免名额少于学院专业数时，推免名额原则上按专业分配，专业优先级按照表1《</w:t>
      </w:r>
      <w:r>
        <w:rPr>
          <w:rFonts w:hint="eastAsia" w:ascii="Times New Roman" w:hAnsi="Times New Roman" w:eastAsia="宋体" w:cs="仿宋_GB2312"/>
          <w:b w:val="0"/>
          <w:sz w:val="24"/>
          <w:szCs w:val="32"/>
          <w14:ligatures w14:val="none"/>
        </w:rPr>
        <w:t>专业名额分配计算</w:t>
      </w:r>
      <w:r>
        <w:rPr>
          <w:rFonts w:hint="eastAsia" w:ascii="Times New Roman" w:eastAsia="宋体" w:hAnsi="Times New Roman"/>
          <w:b w:val="0"/>
          <w:sz w:val="24"/>
          <w:szCs w:val="32"/>
        </w:rPr>
        <w:t>方法</w:t>
      </w:r>
      <w:r>
        <w:rPr>
          <w:rFonts w:hint="eastAsia" w:ascii="Times New Roman" w:hAnsi="Times New Roman" w:eastAsia="宋体" w:cs="仿宋_GB2312"/>
          <w:b w:val="0"/>
          <w:sz w:val="24"/>
          <w:szCs w:val="32"/>
          <w14:ligatures w14:val="none"/>
        </w:rPr>
        <w:t>表</w:t>
      </w:r>
      <w:r>
        <w:rPr>
          <w:rFonts w:hint="eastAsia" w:ascii="Times New Roman" w:eastAsia="宋体" w:hAnsi="Times New Roman"/>
          <w:b w:val="0"/>
          <w:sz w:val="24"/>
          <w:szCs w:val="32"/>
        </w:rPr>
        <w:t>》计算</w:t>
      </w:r>
      <w:r>
        <w:rPr>
          <w:rFonts w:hint="eastAsia" w:ascii="Times New Roman" w:hAnsi="Times New Roman" w:eastAsia="宋体" w:cs="仿宋_GB2312"/>
          <w:b w:val="0"/>
          <w:bCs/>
          <w:sz w:val="24"/>
          <w:szCs w:val="32"/>
        </w:rPr>
        <w:t>量化计分Y（Y=A+B+C），根据Y值，学院各专业进行</w:t>
      </w:r>
      <w:r>
        <w:rPr>
          <w:rFonts w:hint="eastAsia" w:ascii="Times New Roman" w:eastAsia="宋体" w:hAnsi="Times New Roman"/>
          <w:b w:val="0"/>
          <w:sz w:val="24"/>
          <w:szCs w:val="32"/>
        </w:rPr>
        <w:t>排序，实际分配名额按照排序依次进行分配。</w:t>
      </w:r>
    </w:p>
    <w:p w14:paraId="0188C317">
      <w:pPr>
        <w:numPr>
          <w:ilvl w:val="255"/>
          <w:numId w:val="0"/>
        </w:numPr>
        <w:spacing w:after="80" w:line="360" w:lineRule="auto" w:before="0"/>
        <w:ind w:firstLineChars="200" w:firstLine="482"/>
        <w:jc w:val="both"/>
        <w:rPr>
          <w:rFonts w:hint="eastAsia" w:ascii="仿宋_GB2312" w:eastAsia="仿宋_GB2312"/>
          <w:sz w:val="32"/>
          <w:szCs w:val="32"/>
        </w:rPr>
      </w:pPr>
      <w:r>
        <w:rPr>
          <w:rFonts w:hint="eastAsia" w:ascii="Times New Roman" w:eastAsia="宋体" w:hAnsi="Times New Roman"/>
          <w:b w:val="0"/>
          <w:bCs/>
          <w:sz w:val="24"/>
          <w:szCs w:val="32"/>
        </w:rPr>
        <w:t>“量化计分Y”由“</w:t>
      </w:r>
      <w:r>
        <w:rPr>
          <w:rFonts w:hint="eastAsia" w:ascii="Times New Roman" w:eastAsia="宋体" w:hAnsi="Times New Roman"/>
          <w:b w:val="0"/>
          <w:sz w:val="24"/>
          <w:szCs w:val="32"/>
        </w:rPr>
        <w:t>毕业生基数得分</w:t>
      </w:r>
      <w:r>
        <w:rPr>
          <w:rFonts w:hint="eastAsia" w:ascii="Times New Roman" w:eastAsia="宋体" w:hAnsi="Times New Roman"/>
          <w:b w:val="0"/>
          <w:bCs/>
          <w:sz w:val="24"/>
          <w:szCs w:val="32"/>
        </w:rPr>
        <w:t>A”“</w:t>
      </w:r>
      <w:r>
        <w:rPr>
          <w:rFonts w:hint="eastAsia" w:ascii="Times New Roman" w:eastAsia="宋体" w:hAnsi="Times New Roman"/>
          <w:b w:val="0"/>
          <w:sz w:val="24"/>
          <w:szCs w:val="32"/>
        </w:rPr>
        <w:t>专业层次得分</w:t>
      </w:r>
      <w:r>
        <w:rPr>
          <w:rFonts w:hint="eastAsia" w:ascii="Times New Roman" w:eastAsia="宋体" w:hAnsi="Times New Roman"/>
          <w:b w:val="0"/>
          <w:bCs/>
          <w:sz w:val="24"/>
          <w:szCs w:val="32"/>
        </w:rPr>
        <w:t>B”“</w:t>
      </w:r>
      <w:r>
        <w:rPr>
          <w:rFonts w:hint="eastAsia" w:ascii="Times New Roman" w:eastAsia="宋体" w:hAnsi="Times New Roman"/>
          <w:b w:val="0"/>
          <w:sz w:val="24"/>
          <w:szCs w:val="32"/>
        </w:rPr>
        <w:t>升学率得分</w:t>
      </w:r>
      <w:r>
        <w:rPr>
          <w:rFonts w:hint="eastAsia" w:ascii="Times New Roman" w:eastAsia="宋体" w:hAnsi="Times New Roman"/>
          <w:b w:val="0"/>
          <w:bCs/>
          <w:sz w:val="24"/>
          <w:szCs w:val="32"/>
        </w:rPr>
        <w:t>C”三个一级指标构成。如下表所示：</w:t>
      </w:r>
    </w:p>
    <w:p w14:paraId="76B0FF9A">
      <w:pPr>
        <w:numPr>
          <w:ilvl w:val="255"/>
          <w:numId w:val="0"/>
        </w:numPr>
        <w:spacing w:after="60" w:line="360" w:lineRule="auto" w:before="120"/>
        <w:ind w:firstLine="0"/>
        <w:jc w:val="left"/>
        <w:rPr>
          <w:rFonts w:hint="eastAsia" w:ascii="仿宋_GB2312" w:eastAsia="仿宋_GB2312"/>
          <w:sz w:val="32"/>
          <w:szCs w:val="32"/>
        </w:rPr>
      </w:pPr>
      <w:r>
        <w:rPr>
          <w:rFonts w:hint="eastAsia" w:ascii="Times New Roman" w:eastAsia="宋体" w:hAnsi="Times New Roman"/>
          <w:b/>
          <w:sz w:val="24"/>
          <w:szCs w:val="32"/>
        </w:rPr>
        <w:t>表1 专业名额计算方法表</w:t>
      </w:r>
    </w:p>
    <w:tbl>
      <w:tblPr>
        <w:tblStyle w:val="18"/>
        <w:tblW w:w="85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1516"/>
        <w:gridCol w:w="5885"/>
      </w:tblGrid>
      <w:tr w14:paraId="73908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190" w:type="dxa"/>
            <w:tcBorders>
              <w:top w:val="single" w:color="auto" w:sz="4" w:space="0"/>
              <w:left w:val="single" w:color="auto" w:sz="4" w:space="0"/>
              <w:bottom w:val="single" w:color="auto" w:sz="4" w:space="0"/>
              <w:right w:val="single" w:color="auto" w:sz="4" w:space="0"/>
            </w:tcBorders>
          </w:tcPr>
          <w:p w14:paraId="7F4AA443">
            <w:pPr>
              <w:numPr>
                <w:ilvl w:val="255"/>
                <w:numId w:val="0"/>
              </w:numPr>
              <w:spacing w:after="0" w:line="276" w:lineRule="auto" w:before="0"/>
              <w:ind w:firstLine="0"/>
              <w:jc w:val="both"/>
              <w:rPr>
                <w:rFonts w:hint="eastAsia" w:ascii="仿宋_GB2312" w:eastAsia="仿宋_GB2312"/>
                <w:sz w:val="24"/>
              </w:rPr>
            </w:pPr>
            <w:r>
              <w:rPr>
                <w:rFonts w:hint="eastAsia" w:ascii="Times New Roman" w:eastAsia="宋体" w:hAnsi="Times New Roman"/>
                <w:b w:val="0"/>
                <w:sz w:val="21"/>
              </w:rPr>
              <w:t>计算项</w:t>
            </w:r>
          </w:p>
        </w:tc>
        <w:tc>
          <w:tcPr>
            <w:tcW w:w="1516" w:type="dxa"/>
            <w:tcBorders>
              <w:top w:val="single" w:color="auto" w:sz="4" w:space="0"/>
              <w:left w:val="single" w:color="auto" w:sz="4" w:space="0"/>
              <w:bottom w:val="single" w:color="auto" w:sz="4" w:space="0"/>
              <w:right w:val="single" w:color="auto" w:sz="4" w:space="0"/>
            </w:tcBorders>
          </w:tcPr>
          <w:p w14:paraId="6D8CAAAE">
            <w:pPr>
              <w:numPr>
                <w:ilvl w:val="255"/>
                <w:numId w:val="0"/>
              </w:numPr>
              <w:spacing w:after="0" w:line="276" w:lineRule="auto" w:before="0"/>
              <w:ind w:firstLine="0"/>
              <w:jc w:val="both"/>
              <w:rPr>
                <w:rFonts w:hint="eastAsia" w:ascii="仿宋_GB2312" w:eastAsia="仿宋_GB2312"/>
                <w:sz w:val="24"/>
              </w:rPr>
            </w:pPr>
            <w:r>
              <w:rPr>
                <w:rFonts w:hint="eastAsia" w:ascii="Times New Roman" w:eastAsia="宋体" w:hAnsi="Times New Roman"/>
                <w:b w:val="0"/>
                <w:sz w:val="21"/>
              </w:rPr>
              <w:t>指标权重</w:t>
            </w:r>
          </w:p>
        </w:tc>
        <w:tc>
          <w:tcPr>
            <w:tcW w:w="5885" w:type="dxa"/>
            <w:tcBorders>
              <w:top w:val="single" w:color="auto" w:sz="4" w:space="0"/>
              <w:left w:val="single" w:color="auto" w:sz="4" w:space="0"/>
              <w:bottom w:val="single" w:color="auto" w:sz="4" w:space="0"/>
              <w:right w:val="single" w:color="auto" w:sz="4" w:space="0"/>
            </w:tcBorders>
          </w:tcPr>
          <w:p w14:paraId="487CB74B">
            <w:pPr>
              <w:numPr>
                <w:ilvl w:val="255"/>
                <w:numId w:val="0"/>
              </w:numPr>
              <w:spacing w:after="0" w:line="276" w:lineRule="auto" w:before="0"/>
              <w:ind w:firstLine="0"/>
              <w:jc w:val="both"/>
              <w:rPr>
                <w:rFonts w:hint="eastAsia" w:ascii="仿宋_GB2312" w:eastAsia="仿宋_GB2312"/>
                <w:sz w:val="24"/>
              </w:rPr>
            </w:pPr>
            <w:r>
              <w:rPr>
                <w:rFonts w:hint="eastAsia" w:ascii="Times New Roman" w:eastAsia="宋体" w:hAnsi="Times New Roman"/>
                <w:b w:val="0"/>
                <w:sz w:val="21"/>
              </w:rPr>
              <w:t>相关指标计算说明</w:t>
            </w:r>
          </w:p>
        </w:tc>
      </w:tr>
      <w:tr w14:paraId="73BF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1190" w:type="dxa"/>
            <w:tcBorders>
              <w:top w:val="single" w:color="auto" w:sz="4" w:space="0"/>
              <w:left w:val="single" w:color="auto" w:sz="4" w:space="0"/>
              <w:bottom w:val="single" w:color="auto" w:sz="4" w:space="0"/>
              <w:right w:val="single" w:color="auto" w:sz="4" w:space="0"/>
            </w:tcBorders>
          </w:tcPr>
          <w:p w14:paraId="0AEDF6EE">
            <w:pPr>
              <w:numPr>
                <w:ilvl w:val="255"/>
                <w:numId w:val="0"/>
              </w:numPr>
              <w:spacing w:after="0" w:line="276" w:lineRule="auto" w:before="0"/>
              <w:ind w:firstLine="0"/>
              <w:jc w:val="both"/>
              <w:rPr>
                <w:rFonts w:hint="eastAsia" w:ascii="仿宋_GB2312" w:eastAsia="仿宋_GB2312"/>
                <w:sz w:val="24"/>
              </w:rPr>
            </w:pPr>
            <w:r>
              <w:rPr>
                <w:rFonts w:hint="eastAsia" w:ascii="Times New Roman" w:eastAsia="宋体" w:hAnsi="Times New Roman"/>
                <w:b w:val="0"/>
                <w:sz w:val="21"/>
              </w:rPr>
              <w:t>A</w:t>
            </w:r>
          </w:p>
        </w:tc>
        <w:tc>
          <w:tcPr>
            <w:tcW w:w="1516" w:type="dxa"/>
            <w:tcBorders>
              <w:top w:val="single" w:color="auto" w:sz="4" w:space="0"/>
              <w:left w:val="single" w:color="auto" w:sz="4" w:space="0"/>
              <w:bottom w:val="single" w:color="auto" w:sz="4" w:space="0"/>
              <w:right w:val="single" w:color="auto" w:sz="4" w:space="0"/>
            </w:tcBorders>
          </w:tcPr>
          <w:p w14:paraId="6626AF0C">
            <w:pPr>
              <w:numPr>
                <w:ilvl w:val="255"/>
                <w:numId w:val="0"/>
              </w:numPr>
              <w:spacing w:after="0" w:line="276" w:lineRule="auto" w:before="0"/>
              <w:ind w:firstLine="0"/>
              <w:jc w:val="both"/>
              <w:rPr>
                <w:rFonts w:hint="eastAsia" w:ascii="仿宋_GB2312" w:eastAsia="仿宋_GB2312"/>
                <w:sz w:val="24"/>
              </w:rPr>
            </w:pPr>
            <w:r>
              <w:rPr>
                <w:rFonts w:hint="eastAsia" w:ascii="Times New Roman" w:eastAsia="宋体" w:hAnsi="Times New Roman"/>
                <w:b w:val="0"/>
                <w:sz w:val="21"/>
              </w:rPr>
              <w:t>毕业生基数（0.6）</w:t>
            </w:r>
          </w:p>
        </w:tc>
        <w:tc>
          <w:tcPr>
            <w:tcW w:w="5885" w:type="dxa"/>
            <w:tcBorders>
              <w:top w:val="single" w:color="auto" w:sz="4" w:space="0"/>
              <w:left w:val="single" w:color="auto" w:sz="4" w:space="0"/>
              <w:bottom w:val="single" w:color="auto" w:sz="4" w:space="0"/>
              <w:right w:val="single" w:color="auto" w:sz="4" w:space="0"/>
            </w:tcBorders>
          </w:tcPr>
          <w:p w14:paraId="75164E1A">
            <w:pPr>
              <w:numPr>
                <w:ilvl w:val="255"/>
                <w:numId w:val="0"/>
              </w:numPr>
              <w:spacing w:after="0" w:line="276" w:lineRule="auto" w:before="0"/>
              <w:ind w:firstLine="0"/>
              <w:jc w:val="both"/>
              <w:rPr>
                <w:rFonts w:hint="eastAsia" w:ascii="仿宋_GB2312" w:eastAsia="仿宋_GB2312"/>
                <w:sz w:val="24"/>
              </w:rPr>
            </w:pPr>
            <w:r>
              <w:rPr>
                <w:rFonts w:hint="eastAsia" w:ascii="Times New Roman" w:eastAsia="宋体" w:hAnsi="Times New Roman"/>
                <w:b w:val="0"/>
                <w:sz w:val="21"/>
              </w:rPr>
              <w:t>毕业生基数得分A=当届专业学生数A1/当届全院毕业生总数A2*指标权重（0.6）</w:t>
            </w:r>
          </w:p>
        </w:tc>
      </w:tr>
      <w:tr w14:paraId="41A0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1190" w:type="dxa"/>
            <w:tcBorders>
              <w:top w:val="single" w:color="auto" w:sz="4" w:space="0"/>
              <w:left w:val="single" w:color="auto" w:sz="4" w:space="0"/>
              <w:bottom w:val="single" w:color="auto" w:sz="4" w:space="0"/>
              <w:right w:val="single" w:color="auto" w:sz="4" w:space="0"/>
            </w:tcBorders>
          </w:tcPr>
          <w:p w14:paraId="074C847E">
            <w:pPr>
              <w:numPr>
                <w:ilvl w:val="255"/>
                <w:numId w:val="0"/>
              </w:numPr>
              <w:spacing w:after="0" w:line="276" w:lineRule="auto" w:before="0"/>
              <w:ind w:firstLine="0"/>
              <w:jc w:val="both"/>
              <w:rPr>
                <w:rFonts w:hint="eastAsia" w:ascii="仿宋_GB2312" w:eastAsia="仿宋_GB2312"/>
                <w:sz w:val="24"/>
              </w:rPr>
            </w:pPr>
            <w:r>
              <w:rPr>
                <w:rFonts w:hint="eastAsia" w:ascii="Times New Roman" w:eastAsia="宋体" w:hAnsi="Times New Roman"/>
                <w:b w:val="0"/>
                <w:sz w:val="21"/>
              </w:rPr>
              <w:t>B</w:t>
            </w:r>
          </w:p>
        </w:tc>
        <w:tc>
          <w:tcPr>
            <w:tcW w:w="1516" w:type="dxa"/>
            <w:tcBorders>
              <w:top w:val="single" w:color="auto" w:sz="4" w:space="0"/>
              <w:left w:val="single" w:color="auto" w:sz="4" w:space="0"/>
              <w:bottom w:val="single" w:color="auto" w:sz="4" w:space="0"/>
              <w:right w:val="single" w:color="auto" w:sz="4" w:space="0"/>
            </w:tcBorders>
          </w:tcPr>
          <w:p w14:paraId="1D837A1E">
            <w:pPr>
              <w:numPr>
                <w:ilvl w:val="255"/>
                <w:numId w:val="0"/>
              </w:numPr>
              <w:spacing w:after="0" w:line="276" w:lineRule="auto" w:before="0"/>
              <w:ind w:firstLine="0"/>
              <w:jc w:val="both"/>
              <w:rPr>
                <w:rFonts w:hint="eastAsia" w:ascii="仿宋_GB2312" w:eastAsia="仿宋_GB2312"/>
                <w:sz w:val="24"/>
              </w:rPr>
            </w:pPr>
            <w:r>
              <w:rPr>
                <w:rFonts w:hint="eastAsia" w:ascii="Times New Roman" w:eastAsia="宋体" w:hAnsi="Times New Roman"/>
                <w:b w:val="0"/>
                <w:sz w:val="21"/>
              </w:rPr>
              <w:t>专业层次（0.3）</w:t>
            </w:r>
          </w:p>
        </w:tc>
        <w:tc>
          <w:tcPr>
            <w:tcW w:w="5885" w:type="dxa"/>
            <w:tcBorders>
              <w:top w:val="single" w:color="auto" w:sz="4" w:space="0"/>
              <w:left w:val="single" w:color="auto" w:sz="4" w:space="0"/>
              <w:bottom w:val="single" w:color="auto" w:sz="4" w:space="0"/>
              <w:right w:val="single" w:color="auto" w:sz="4" w:space="0"/>
            </w:tcBorders>
          </w:tcPr>
          <w:p w14:paraId="57F0880B">
            <w:pPr>
              <w:numPr>
                <w:ilvl w:val="255"/>
                <w:numId w:val="0"/>
              </w:numPr>
              <w:spacing w:after="0" w:line="276" w:lineRule="auto" w:before="0"/>
              <w:ind w:firstLine="0"/>
              <w:jc w:val="both"/>
              <w:rPr>
                <w:rFonts w:hint="eastAsia" w:ascii="仿宋_GB2312" w:eastAsia="仿宋_GB2312"/>
                <w:sz w:val="24"/>
              </w:rPr>
            </w:pPr>
            <w:r>
              <w:rPr>
                <w:rFonts w:hint="eastAsia" w:ascii="Times New Roman" w:eastAsia="宋体" w:hAnsi="Times New Roman"/>
                <w:b w:val="0"/>
                <w:sz w:val="21"/>
              </w:rPr>
              <w:t>专业层次得分B=专业权重系数*指标权重（0.3）</w:t>
            </w:r>
          </w:p>
        </w:tc>
      </w:tr>
      <w:tr w14:paraId="1D0FD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9" w:hRule="atLeast"/>
        </w:trPr>
        <w:tc>
          <w:tcPr>
            <w:tcW w:w="1190" w:type="dxa"/>
            <w:tcBorders>
              <w:top w:val="single" w:color="auto" w:sz="4" w:space="0"/>
              <w:left w:val="single" w:color="auto" w:sz="4" w:space="0"/>
              <w:bottom w:val="single" w:color="auto" w:sz="4" w:space="0"/>
              <w:right w:val="single" w:color="auto" w:sz="4" w:space="0"/>
            </w:tcBorders>
          </w:tcPr>
          <w:p w14:paraId="3281A0E4">
            <w:pPr>
              <w:numPr>
                <w:ilvl w:val="255"/>
                <w:numId w:val="0"/>
              </w:numPr>
              <w:spacing w:after="0" w:line="276" w:lineRule="auto" w:before="0"/>
              <w:ind w:firstLine="0"/>
              <w:jc w:val="both"/>
              <w:rPr>
                <w:rFonts w:hint="eastAsia" w:ascii="仿宋_GB2312" w:eastAsia="仿宋_GB2312"/>
                <w:sz w:val="24"/>
              </w:rPr>
            </w:pPr>
            <w:r>
              <w:rPr>
                <w:rFonts w:hint="eastAsia" w:ascii="Times New Roman" w:eastAsia="宋体" w:hAnsi="Times New Roman"/>
                <w:b w:val="0"/>
                <w:sz w:val="21"/>
              </w:rPr>
              <w:t>C</w:t>
            </w:r>
          </w:p>
        </w:tc>
        <w:tc>
          <w:tcPr>
            <w:tcW w:w="1516" w:type="dxa"/>
            <w:tcBorders>
              <w:top w:val="single" w:color="auto" w:sz="4" w:space="0"/>
              <w:left w:val="single" w:color="auto" w:sz="4" w:space="0"/>
              <w:bottom w:val="single" w:color="auto" w:sz="4" w:space="0"/>
              <w:right w:val="single" w:color="auto" w:sz="4" w:space="0"/>
            </w:tcBorders>
          </w:tcPr>
          <w:p w14:paraId="32062B69">
            <w:pPr>
              <w:numPr>
                <w:ilvl w:val="255"/>
                <w:numId w:val="0"/>
              </w:numPr>
              <w:spacing w:after="0" w:line="276" w:lineRule="auto" w:before="0"/>
              <w:ind w:firstLine="0"/>
              <w:jc w:val="both"/>
              <w:rPr>
                <w:rFonts w:hint="eastAsia" w:ascii="仿宋_GB2312" w:eastAsia="仿宋_GB2312"/>
                <w:sz w:val="24"/>
              </w:rPr>
            </w:pPr>
            <w:r>
              <w:rPr>
                <w:rFonts w:hint="eastAsia" w:ascii="Times New Roman" w:eastAsia="宋体" w:hAnsi="Times New Roman"/>
                <w:b w:val="0"/>
                <w:sz w:val="21"/>
              </w:rPr>
              <w:t>升学率（0.1）</w:t>
            </w:r>
          </w:p>
        </w:tc>
        <w:tc>
          <w:tcPr>
            <w:tcW w:w="5885" w:type="dxa"/>
            <w:tcBorders>
              <w:top w:val="single" w:color="auto" w:sz="4" w:space="0"/>
              <w:left w:val="single" w:color="auto" w:sz="4" w:space="0"/>
              <w:bottom w:val="single" w:color="auto" w:sz="4" w:space="0"/>
              <w:right w:val="single" w:color="auto" w:sz="4" w:space="0"/>
            </w:tcBorders>
          </w:tcPr>
          <w:p w14:paraId="31BC3A28">
            <w:pPr>
              <w:numPr>
                <w:ilvl w:val="255"/>
                <w:numId w:val="0"/>
              </w:numPr>
              <w:spacing w:after="0" w:line="276" w:lineRule="auto" w:before="0"/>
              <w:ind w:firstLine="0"/>
              <w:jc w:val="both"/>
              <w:rPr>
                <w:rFonts w:hint="eastAsia" w:ascii="仿宋_GB2312" w:eastAsia="仿宋_GB2312"/>
                <w:sz w:val="24"/>
              </w:rPr>
            </w:pPr>
            <w:r>
              <w:rPr>
                <w:rFonts w:hint="eastAsia" w:ascii="Times New Roman" w:eastAsia="宋体" w:hAnsi="Times New Roman"/>
                <w:b w:val="0"/>
                <w:sz w:val="21"/>
              </w:rPr>
              <w:t>升学率得分=【专业当年学院内升学率C1*当届全院毕业生总数A2】以比高法（最高分为系数1）计算其他专业数值*指标权重（0.1）</w:t>
            </w:r>
          </w:p>
        </w:tc>
      </w:tr>
    </w:tbl>
    <w:p w14:paraId="3727FB97">
      <w:pPr>
        <w:numPr>
          <w:ilvl w:val="255"/>
          <w:numId w:val="0"/>
        </w:numPr>
        <w:spacing w:after="80" w:line="360" w:lineRule="auto" w:before="0"/>
        <w:ind w:firstLineChars="200" w:firstLine="482"/>
        <w:jc w:val="both"/>
        <w:rPr>
          <w:rFonts w:hint="eastAsia" w:ascii="仿宋_GB2312" w:eastAsia="仿宋_GB2312"/>
          <w:sz w:val="32"/>
          <w:szCs w:val="32"/>
        </w:rPr>
      </w:pPr>
      <w:r>
        <w:rPr>
          <w:rFonts w:hint="eastAsia" w:ascii="Times New Roman" w:eastAsia="宋体" w:hAnsi="Times New Roman"/>
          <w:b w:val="0"/>
          <w:sz w:val="24"/>
          <w:szCs w:val="32"/>
        </w:rPr>
        <w:t>毕业生基数得分为</w:t>
      </w:r>
      <w:r>
        <w:rPr>
          <w:rFonts w:hint="eastAsia" w:ascii="Times New Roman" w:eastAsia="宋体" w:hAnsi="Times New Roman"/>
          <w:b w:val="0"/>
          <w:bCs/>
          <w:sz w:val="24"/>
          <w:szCs w:val="32"/>
        </w:rPr>
        <w:t>A，</w:t>
      </w:r>
      <w:r>
        <w:rPr>
          <w:rFonts w:hint="eastAsia" w:ascii="Times New Roman" w:eastAsia="宋体" w:hAnsi="Times New Roman"/>
          <w:b w:val="0"/>
          <w:sz w:val="24"/>
          <w:szCs w:val="32"/>
        </w:rPr>
        <w:t>当届专业学生数为A1，当届全院毕业生总数A2。</w:t>
      </w:r>
    </w:p>
    <w:p w14:paraId="13EB9D1C">
      <w:pPr>
        <w:numPr>
          <w:ilvl w:val="255"/>
          <w:numId w:val="0"/>
        </w:numPr>
        <w:spacing w:after="80" w:line="360" w:lineRule="auto" w:before="0"/>
        <w:ind w:firstLineChars="200" w:firstLine="482"/>
        <w:jc w:val="both"/>
        <w:rPr>
          <w:rFonts w:hint="eastAsia" w:ascii="仿宋_GB2312" w:eastAsia="仿宋_GB2312"/>
          <w:sz w:val="32"/>
          <w:szCs w:val="32"/>
        </w:rPr>
      </w:pPr>
      <w:r>
        <w:rPr>
          <w:rFonts w:hint="eastAsia" w:ascii="Times New Roman" w:eastAsia="宋体" w:hAnsi="Times New Roman"/>
          <w:b w:val="0"/>
          <w:sz w:val="24"/>
          <w:szCs w:val="32"/>
        </w:rPr>
        <w:t>专业层次得分为B，专业权重系数：国家级一流专业0.6，省级一流专业为0.3，通过国家工程认证专业0.2，支撑省级重点学科专业0.2，</w:t>
      </w:r>
      <w:bookmarkStart w:id="0" w:name="OLE_LINK2"/>
      <w:r>
        <w:rPr>
          <w:rFonts w:hint="eastAsia" w:ascii="Times New Roman" w:eastAsia="宋体" w:hAnsi="Times New Roman"/>
          <w:b w:val="0"/>
          <w:sz w:val="24"/>
          <w:szCs w:val="32"/>
        </w:rPr>
        <w:t>专业权重系数基准1.0，专业权重</w:t>
      </w:r>
      <w:bookmarkEnd w:id="0"/>
      <w:r>
        <w:rPr>
          <w:rFonts w:hint="eastAsia" w:ascii="Times New Roman" w:eastAsia="宋体" w:hAnsi="Times New Roman"/>
          <w:b w:val="0"/>
          <w:sz w:val="24"/>
          <w:szCs w:val="32"/>
        </w:rPr>
        <w:t>系数累积计数。</w:t>
      </w:r>
    </w:p>
    <w:p w14:paraId="50F6F910">
      <w:pPr>
        <w:numPr>
          <w:ilvl w:val="255"/>
          <w:numId w:val="0"/>
        </w:numPr>
        <w:spacing w:after="80" w:line="360" w:lineRule="auto" w:before="0"/>
        <w:ind w:firstLineChars="200" w:firstLine="482"/>
        <w:jc w:val="both"/>
        <w:rPr>
          <w:rFonts w:hint="eastAsia" w:ascii="仿宋_GB2312" w:eastAsia="仿宋_GB2312"/>
          <w:sz w:val="32"/>
          <w:szCs w:val="32"/>
        </w:rPr>
      </w:pPr>
      <w:r>
        <w:rPr>
          <w:rFonts w:hint="eastAsia" w:ascii="Times New Roman" w:eastAsia="宋体" w:hAnsi="Times New Roman"/>
          <w:b w:val="0"/>
          <w:sz w:val="24"/>
          <w:szCs w:val="32"/>
        </w:rPr>
        <w:t>升学率得分为C，专业当年学院内升学率C1。</w:t>
      </w:r>
    </w:p>
    <w:p w14:paraId="4C79519E">
      <w:pPr>
        <w:numPr>
          <w:ilvl w:val="255"/>
          <w:numId w:val="0"/>
        </w:numPr>
        <w:spacing w:after="80" w:line="360" w:lineRule="auto" w:before="160"/>
        <w:ind w:firstLineChars="200" w:firstLine="0"/>
        <w:jc w:val="left"/>
        <w:rPr>
          <w:rFonts w:hint="eastAsia" w:ascii="仿宋_GB2312" w:eastAsia="仿宋_GB2312"/>
          <w:sz w:val="32"/>
          <w:szCs w:val="32"/>
        </w:rPr>
      </w:pPr>
      <w:r>
        <w:rPr>
          <w:rFonts w:hint="eastAsia" w:ascii="Times New Roman" w:eastAsia="宋体" w:hAnsi="Times New Roman"/>
          <w:b/>
          <w:sz w:val="28"/>
          <w:szCs w:val="32"/>
        </w:rPr>
        <w:t>2.当学院推免名额大于或等于学院专业数时，优先每个专业分配1个名额，如果满足每个专业有1个名额后仍有多余名额的，多出名额(N)按照下列公式进行分配：</w:t>
      </w:r>
    </w:p>
    <w:p w14:paraId="3BAEE1FB">
      <w:pPr>
        <w:numPr>
          <w:ilvl w:val="255"/>
          <w:numId w:val="0"/>
        </w:numPr>
        <w:spacing w:after="0" w:line="240" w:lineRule="auto"/>
        <w:ind w:firstLine="440" w:firstLineChars="200"/>
        <w:jc w:val="both"/>
        <w:rPr>
          <w:rFonts w:hint="eastAsia"/>
        </w:rPr>
      </w:pPr>
      <w:r>
        <w:rPr>
          <w:rFonts w:hint="eastAsia"/>
          <w:position w:val="-32"/>
          <w:sz w:val="2"/>
        </w:rPr>
        <w:object>
          <v:shape id="_x0000_i1025" o:spt="75" type="#_x0000_t75" style="height:48.4pt;width:181.9pt;" o:ole="t" filled="f" o:preferrelative="t" stroked="f" coordsize="21600,21600">
            <v:path/>
            <v:fill on="f" focussize="0,0"/>
            <v:stroke on="f" joinstyle="miter"/>
            <v:imagedata r:id="rId8" o:title=""/>
            <o:lock v:ext="edit" aspectratio="t"/>
            <w10:wrap type="none"/>
            <w10:anchorlock/>
          </v:shape>
          <o:OLEObject Type="Embed" ProgID="Equation.DSMT4" ShapeID="_x0000_i1025" DrawAspect="Content" ObjectID="_1468075725" r:id="rId7">
            <o:LockedField>false</o:LockedField>
          </o:OLEObject>
        </w:object>
      </w:r>
    </w:p>
    <w:p w14:paraId="341DEB79">
      <w:pPr>
        <w:numPr>
          <w:ilvl w:val="255"/>
          <w:numId w:val="0"/>
        </w:numPr>
        <w:spacing w:after="80" w:line="360" w:lineRule="auto" w:before="0"/>
        <w:ind w:firstLineChars="200" w:firstLine="482"/>
        <w:jc w:val="both"/>
        <w:rPr>
          <w:rFonts w:hint="eastAsia" w:ascii="仿宋_GB2312" w:eastAsia="仿宋_GB2312"/>
          <w:sz w:val="32"/>
          <w:szCs w:val="32"/>
        </w:rPr>
      </w:pPr>
      <w:r>
        <w:rPr>
          <w:rFonts w:hint="eastAsia" w:ascii="Times New Roman" w:eastAsia="宋体" w:hAnsi="Times New Roman"/>
          <w:b w:val="0"/>
          <w:sz w:val="24"/>
          <w:szCs w:val="32"/>
        </w:rPr>
        <w:t>式中</w:t>
      </w:r>
      <w:bookmarkStart w:id="1" w:name="OLE_LINK1"/>
      <w:r>
        <w:rPr>
          <w:rFonts w:hint="eastAsia" w:ascii="Times New Roman" w:eastAsia="宋体" w:hAnsi="Times New Roman"/>
          <w:b w:val="0"/>
          <w:sz w:val="24"/>
          <w:szCs w:val="32"/>
        </w:rPr>
        <w:t>，</w:t>
      </w:r>
      <w:r>
        <w:rPr>
          <w:rFonts w:hint="eastAsia" w:ascii="Times New Roman" w:eastAsia="宋体" w:hAnsi="Times New Roman"/>
          <w:b w:val="0"/>
          <w:i/>
          <w:iCs/>
          <w:sz w:val="24"/>
          <w:szCs w:val="32"/>
        </w:rPr>
        <w:t>A</w:t>
      </w:r>
      <w:r>
        <w:rPr>
          <w:rFonts w:hint="eastAsia" w:ascii="Times New Roman" w:eastAsia="宋体" w:hAnsi="Times New Roman"/>
          <w:b w:val="0"/>
          <w:i/>
          <w:iCs/>
          <w:sz w:val="24"/>
          <w:szCs w:val="32"/>
          <w:vertAlign w:val="subscript"/>
        </w:rPr>
        <w:t>i</w:t>
      </w:r>
      <w:r>
        <w:rPr>
          <w:rFonts w:hint="eastAsia" w:ascii="Times New Roman" w:eastAsia="宋体" w:hAnsi="Times New Roman"/>
          <w:b w:val="0"/>
          <w:sz w:val="24"/>
          <w:szCs w:val="32"/>
        </w:rPr>
        <w:t>当届各专业学生数</w:t>
      </w:r>
      <w:bookmarkEnd w:id="1"/>
      <w:r>
        <w:rPr>
          <w:rFonts w:hint="eastAsia" w:ascii="Times New Roman" w:eastAsia="宋体" w:hAnsi="Times New Roman"/>
          <w:b w:val="0"/>
          <w:sz w:val="24"/>
          <w:szCs w:val="32"/>
        </w:rPr>
        <w:t>,</w:t>
      </w:r>
      <w:r>
        <w:rPr>
          <w:rFonts w:hint="eastAsia" w:ascii="Times New Roman" w:eastAsia="宋体" w:hAnsi="Times New Roman"/>
          <w:b w:val="0"/>
          <w:i/>
          <w:iCs/>
          <w:sz w:val="24"/>
          <w:szCs w:val="32"/>
        </w:rPr>
        <w:t>B</w:t>
      </w:r>
      <w:r>
        <w:rPr>
          <w:rFonts w:hint="eastAsia" w:ascii="Times New Roman" w:eastAsia="宋体" w:hAnsi="Times New Roman"/>
          <w:b w:val="0"/>
          <w:i/>
          <w:iCs/>
          <w:sz w:val="24"/>
          <w:szCs w:val="32"/>
          <w:vertAlign w:val="subscript"/>
        </w:rPr>
        <w:t>i</w:t>
      </w:r>
      <w:r>
        <w:rPr>
          <w:rFonts w:hint="eastAsia" w:ascii="Times New Roman" w:eastAsia="宋体" w:hAnsi="Times New Roman"/>
          <w:b w:val="0"/>
          <w:sz w:val="24"/>
          <w:szCs w:val="32"/>
        </w:rPr>
        <w:t>为各专业权重系数；</w:t>
      </w:r>
      <w:bookmarkStart w:id="2" w:name="OLE_LINK3"/>
      <w:r>
        <w:rPr>
          <w:rFonts w:hint="eastAsia" w:ascii="Times New Roman" w:hAnsi="Times New Roman" w:eastAsia="宋体"/>
          <w:b w:val="0"/>
          <w:position w:val="-32"/>
          <w:sz w:val="24"/>
        </w:rPr>
        <w:object>
          <v:shape id="_x0000_i1026" o:spt="75" type="#_x0000_t75" style="height:35pt;width:58pt;" o:ole="t" filled="f" o:preferrelative="t" stroked="f" coordsize="21600,21600">
            <v:path/>
            <v:fill on="f" focussize="0,0"/>
            <v:stroke on="f" joinstyle="miter"/>
            <v:imagedata r:id="rId10" o:title=""/>
            <o:lock v:ext="edit" aspectratio="t"/>
            <w10:wrap type="none"/>
            <w10:anchorlock/>
          </v:shape>
          <o:OLEObject Type="Embed" ProgID="Equation.DSMT4" ShapeID="_x0000_i1026" DrawAspect="Content" ObjectID="_1468075726" r:id="rId9">
            <o:LockedField>false</o:LockedField>
          </o:OLEObject>
        </w:object>
      </w:r>
      <w:bookmarkEnd w:id="2"/>
      <w:r>
        <w:rPr>
          <w:rFonts w:hint="eastAsia" w:ascii="Times New Roman" w:eastAsia="宋体" w:hAnsi="Times New Roman"/>
          <w:b w:val="0"/>
          <w:sz w:val="24"/>
          <w:szCs w:val="32"/>
        </w:rPr>
        <w:t>为多出名额(N)在各专业的分配数，</w:t>
      </w:r>
      <w:bookmarkStart w:id="3" w:name="OLE_LINK4"/>
      <w:r>
        <w:rPr>
          <w:rFonts w:hint="eastAsia" w:ascii="Times New Roman" w:eastAsia="宋体" w:hAnsi="Times New Roman"/>
          <w:b w:val="0"/>
          <w:sz w:val="24"/>
          <w:szCs w:val="32"/>
        </w:rPr>
        <w:t>首先按照整数部分分配名额，</w:t>
      </w:r>
      <w:r>
        <w:rPr>
          <w:rFonts w:hint="eastAsia" w:ascii="Times New Roman" w:eastAsia="宋体" w:hAnsi="Times New Roman"/>
          <w:b w:val="0"/>
          <w:sz w:val="24"/>
          <w:szCs w:val="32"/>
          <w:lang w:val="en-US" w:eastAsia="zh-CN"/>
        </w:rPr>
        <w:t>剩余名额</w:t>
      </w:r>
      <w:r>
        <w:rPr>
          <w:rFonts w:hint="eastAsia" w:ascii="Times New Roman" w:eastAsia="宋体" w:hAnsi="Times New Roman"/>
          <w:b w:val="0"/>
          <w:sz w:val="24"/>
          <w:szCs w:val="32"/>
        </w:rPr>
        <w:t>小数点</w:t>
      </w:r>
      <w:bookmarkEnd w:id="3"/>
      <w:r>
        <w:rPr>
          <w:rFonts w:hint="eastAsia" w:ascii="Times New Roman" w:eastAsia="宋体" w:hAnsi="Times New Roman"/>
          <w:b w:val="0"/>
          <w:sz w:val="24"/>
          <w:szCs w:val="32"/>
        </w:rPr>
        <w:t>后从大到小排序取整达到学校分配数量为止，比例相同时，按专业Y值从大到小优先。</w:t>
      </w:r>
    </w:p>
    <w:p w14:paraId="41573605">
      <w:pPr>
        <w:numPr>
          <w:ilvl w:val="255"/>
          <w:numId w:val="0"/>
        </w:numPr>
        <w:spacing w:after="80" w:line="360" w:lineRule="auto" w:before="0"/>
        <w:ind w:firstLineChars="200" w:firstLine="482"/>
        <w:jc w:val="both"/>
        <w:rPr>
          <w:rFonts w:hint="eastAsia" w:ascii="仿宋_GB2312" w:eastAsia="仿宋_GB2312"/>
          <w:sz w:val="32"/>
          <w:szCs w:val="32"/>
        </w:rPr>
      </w:pPr>
      <w:r>
        <w:rPr>
          <w:rFonts w:hint="eastAsia" w:ascii="Times New Roman" w:eastAsia="宋体" w:hAnsi="Times New Roman"/>
          <w:b w:val="0"/>
          <w:sz w:val="24"/>
          <w:szCs w:val="32"/>
        </w:rPr>
        <w:t>最终名额分配，</w:t>
      </w:r>
      <w:r>
        <w:rPr>
          <w:rFonts w:hint="eastAsia" w:ascii="Times New Roman" w:hAnsi="Times New Roman" w:eastAsia="宋体"/>
          <w:b w:val="0"/>
          <w:sz w:val="24"/>
          <w:szCs w:val="32"/>
        </w:rPr>
        <w:t>由</w:t>
      </w:r>
      <w:bookmarkStart w:id="4" w:name="OLE_LINK5"/>
      <w:r>
        <w:rPr>
          <w:rFonts w:hint="eastAsia" w:ascii="Times New Roman" w:hAnsi="Times New Roman" w:eastAsia="宋体"/>
          <w:b w:val="0"/>
          <w:sz w:val="24"/>
          <w:szCs w:val="32"/>
        </w:rPr>
        <w:t>学院</w:t>
      </w:r>
      <w:r>
        <w:rPr>
          <w:rFonts w:hint="eastAsia" w:ascii="Times New Roman" w:hAnsi="Times New Roman" w:eastAsia="宋体" w:cs="仿宋_GB2312"/>
          <w:b w:val="0"/>
          <w:sz w:val="24"/>
          <w:szCs w:val="32"/>
          <w14:ligatures w14:val="none"/>
        </w:rPr>
        <w:t>推免工作小组</w:t>
      </w:r>
      <w:bookmarkEnd w:id="4"/>
      <w:r>
        <w:rPr>
          <w:rFonts w:hint="eastAsia" w:ascii="Times New Roman" w:hAnsi="Times New Roman" w:eastAsia="宋体"/>
          <w:b w:val="0"/>
          <w:sz w:val="24"/>
          <w:szCs w:val="32"/>
        </w:rPr>
        <w:t>集体审核研究确定，并予以公示。</w:t>
      </w:r>
    </w:p>
    <w:p w14:paraId="49C04657">
      <w:pPr>
        <w:spacing w:after="80" w:line="360" w:lineRule="auto" w:before="160"/>
        <w:ind w:firstLineChars="200" w:firstLine="0"/>
        <w:jc w:val="left"/>
        <w:outlineLvl w:val="1"/>
        <w:rPr>
          <w:rFonts w:hint="eastAsia" w:ascii="黑体" w:hAnsi="黑体" w:eastAsia="黑体" w:cs="黑体"/>
          <w:b/>
          <w:bCs/>
          <w:sz w:val="32"/>
          <w:szCs w:val="32"/>
          <w14:ligatures w14:val="none"/>
        </w:rPr>
      </w:pPr>
      <w:r>
        <w:rPr>
          <w:rFonts w:hint="eastAsia" w:ascii="Times New Roman" w:hAnsi="Times New Roman" w:eastAsia="宋体" w:cs="黑体"/>
          <w:b/>
          <w:bCs/>
          <w:sz w:val="28"/>
          <w:szCs w:val="32"/>
          <w14:ligatures w14:val="none"/>
        </w:rPr>
        <w:t>六、成绩计算方法</w:t>
      </w:r>
    </w:p>
    <w:p w14:paraId="7057605A">
      <w:pPr>
        <w:spacing w:after="80" w:line="360" w:lineRule="auto" w:before="0"/>
        <w:ind w:firstLineChars="200" w:firstLine="482"/>
        <w:jc w:val="both"/>
        <w:rPr>
          <w:rFonts w:hint="eastAsia" w:ascii="仿宋_GB2312" w:hAnsi="仿宋_GB2312" w:eastAsia="仿宋_GB2312" w:cs="仿宋_GB2312"/>
          <w:sz w:val="32"/>
          <w:szCs w:val="32"/>
          <w14:ligatures w14:val="none"/>
        </w:rPr>
      </w:pPr>
      <w:r>
        <w:rPr>
          <w:rFonts w:hint="eastAsia" w:ascii="Times New Roman" w:hAnsi="Times New Roman" w:eastAsia="宋体" w:cs="仿宋_GB2312"/>
          <w:b w:val="0"/>
          <w:sz w:val="24"/>
          <w:szCs w:val="32"/>
          <w14:ligatures w14:val="none"/>
        </w:rPr>
        <w:t>学院对申请推免且满足基本条件的学生进行综合测评并计算推免成绩，按推免成绩进行排序（推免成绩排名相同的学生，按学业成绩高低排名，如出现综合成绩及学业成绩均相同的情况，交由学院推免工作小组综合审核评定）,根据推免名额确定人选。推免成绩由学业成绩和附加成绩两部分组成，计算公式：</w:t>
      </w:r>
    </w:p>
    <w:p w14:paraId="63185A59">
      <w:pPr>
        <w:spacing w:line="360" w:lineRule="auto" w:before="0" w:after="80"/>
        <w:ind w:firstLineChars="200" w:firstLine="482"/>
        <w:jc w:val="both"/>
        <w:rPr>
          <w:rFonts w:hint="eastAsia" w:ascii="仿宋_GB2312" w:hAnsi="仿宋_GB2312" w:eastAsia="仿宋_GB2312" w:cs="仿宋_GB2312"/>
          <w:sz w:val="32"/>
          <w:szCs w:val="32"/>
          <w14:ligatures w14:val="none"/>
        </w:rPr>
      </w:pPr>
      <w:r>
        <w:rPr>
          <w:rFonts w:hint="eastAsia" w:ascii="Times New Roman" w:hAnsi="Times New Roman" w:eastAsia="宋体" w:cs="仿宋_GB2312"/>
          <w:b w:val="0"/>
          <w:sz w:val="24"/>
          <w:szCs w:val="32"/>
          <w14:ligatures w14:val="none"/>
        </w:rPr>
        <w:t>推免成绩=学业成绩+附加成绩（</w:t>
      </w:r>
      <w:r>
        <w:rPr>
          <w:rFonts w:hint="eastAsia" w:ascii="Times New Roman" w:hAnsi="Times New Roman" w:eastAsia="宋体"/>
          <w:b w:val="0"/>
          <w:sz w:val="24"/>
          <w:szCs w:val="32"/>
        </w:rPr>
        <w:t>学业成绩和附加成绩</w:t>
      </w:r>
      <w:r>
        <w:rPr>
          <w:rFonts w:hint="eastAsia" w:ascii="Times New Roman" w:hAnsi="Times New Roman" w:eastAsia="宋体" w:cs="仿宋_GB2312"/>
          <w:b w:val="0"/>
          <w:sz w:val="24"/>
          <w:szCs w:val="32"/>
          <w14:ligatures w14:val="none"/>
        </w:rPr>
        <w:t>均精确到小数点后第2位，</w:t>
      </w:r>
      <w:bookmarkStart w:id="5" w:name="_Hlk207466310"/>
      <w:r>
        <w:rPr>
          <w:rFonts w:hint="eastAsia" w:ascii="Times New Roman" w:hAnsi="Times New Roman" w:eastAsia="宋体" w:cs="仿宋_GB2312"/>
          <w:b w:val="0"/>
          <w:sz w:val="24"/>
          <w:szCs w:val="32"/>
          <w14:ligatures w14:val="none"/>
        </w:rPr>
        <w:t>第3位小数采用四舍五入法处理</w:t>
      </w:r>
      <w:bookmarkEnd w:id="5"/>
      <w:r>
        <w:rPr>
          <w:rFonts w:hint="eastAsia" w:ascii="Times New Roman" w:hAnsi="Times New Roman" w:eastAsia="宋体" w:cs="仿宋_GB2312"/>
          <w:b w:val="0"/>
          <w:sz w:val="24"/>
          <w:szCs w:val="32"/>
          <w14:ligatures w14:val="none"/>
        </w:rPr>
        <w:t>）。</w:t>
      </w:r>
    </w:p>
    <w:p w14:paraId="384EF9B3">
      <w:pPr>
        <w:spacing w:after="80" w:line="360" w:lineRule="auto" w:before="0"/>
        <w:ind w:firstLineChars="200" w:firstLine="482"/>
        <w:jc w:val="both"/>
        <w:rPr>
          <w:rFonts w:hint="eastAsia" w:ascii="仿宋_GB2312" w:hAnsi="仿宋_GB2312" w:eastAsia="仿宋_GB2312" w:cs="仿宋_GB2312"/>
          <w:sz w:val="32"/>
          <w:szCs w:val="32"/>
          <w14:ligatures w14:val="none"/>
        </w:rPr>
      </w:pPr>
      <w:r>
        <w:rPr>
          <w:rFonts w:hint="eastAsia" w:ascii="Times New Roman" w:hAnsi="Times New Roman" w:eastAsia="宋体" w:cs="仿宋_GB2312"/>
          <w:b w:val="0"/>
          <w:sz w:val="24"/>
          <w:szCs w:val="32"/>
          <w14:ligatures w14:val="none"/>
        </w:rPr>
        <w:t>（一）学业成绩，满分100分。对于在前六学期中考核仅出现过一门不及格课程且补考或者第一次重修考试通过的申请者，在推免学业成绩核算中，该门课程成绩按正考成绩核算。发生转专业的学生，按转入后的专业培养方案核算；交流到外校的学生只计算在本校的学习成绩</w:t>
      </w:r>
      <w:r>
        <w:rPr>
          <w:rFonts w:hint="eastAsia" w:ascii="Times New Roman" w:hAnsi="Times New Roman" w:eastAsia="宋体"/>
          <w:b w:val="0"/>
          <w:sz w:val="24"/>
          <w:szCs w:val="32"/>
        </w:rPr>
        <w:t>。</w:t>
      </w:r>
    </w:p>
    <w:p w14:paraId="48CE1B0C">
      <w:pPr>
        <w:spacing w:after="80" w:line="360" w:lineRule="auto" w:before="0"/>
        <w:ind w:firstLineChars="200" w:firstLine="482"/>
        <w:jc w:val="both"/>
        <w:rPr>
          <w:rFonts w:hint="eastAsia" w:ascii="仿宋_GB2312" w:hAnsi="仿宋_GB2312" w:eastAsia="仿宋_GB2312" w:cs="仿宋_GB2312"/>
          <w:sz w:val="32"/>
          <w:szCs w:val="32"/>
          <w14:ligatures w14:val="none"/>
        </w:rPr>
      </w:pPr>
      <w:r>
        <w:rPr>
          <w:rFonts w:hint="eastAsia" w:ascii="Times New Roman" w:hAnsi="Times New Roman" w:eastAsia="宋体" w:cs="仿宋_GB2312"/>
          <w:b w:val="0"/>
          <w:sz w:val="24"/>
          <w:szCs w:val="32"/>
          <w14:ligatures w14:val="none"/>
        </w:rPr>
        <w:t>（二）附加成绩，满分6分。</w:t>
      </w:r>
      <w:r>
        <w:rPr>
          <w:rFonts w:hint="eastAsia" w:ascii="Times New Roman" w:hAnsi="Times New Roman" w:eastAsia="宋体"/>
          <w:b w:val="0"/>
          <w:sz w:val="24"/>
          <w:szCs w:val="32"/>
        </w:rPr>
        <w:t>学校制定附加成绩认定指导意见，指标体系包括：参军入伍服兵役、参加志愿服务或到国际组织实习、学科竞赛获奖、科研创新成果、荣誉称号等。本科生在某一方面有多项加分情况时，原则上只取1项进行附加成绩认定。本科生与直系亲属或学历、职称、职务明显高于本人者（可出具相关证明的本校学业导师、科研团队导师、竞赛指导教师等本科人才培养指导体系内的人员除外）合作的竞赛获奖、科研创新成果等仅作为参考，不纳入本人附加成绩指标体系，其他同等条件下可优先考虑。</w:t>
      </w:r>
    </w:p>
    <w:p w14:paraId="25F07F17">
      <w:pPr>
        <w:spacing w:after="80" w:line="360" w:lineRule="auto" w:before="160"/>
        <w:ind w:firstLineChars="200" w:firstLine="0"/>
        <w:jc w:val="left"/>
        <w:outlineLvl w:val="1"/>
        <w:rPr>
          <w:rFonts w:hint="eastAsia" w:ascii="黑体" w:hAnsi="黑体" w:eastAsia="黑体" w:cs="黑体"/>
          <w:b/>
          <w:bCs/>
          <w:sz w:val="32"/>
          <w:szCs w:val="32"/>
          <w14:ligatures w14:val="none"/>
        </w:rPr>
      </w:pPr>
      <w:r>
        <w:rPr>
          <w:rFonts w:hint="eastAsia" w:ascii="Times New Roman" w:hAnsi="Times New Roman" w:eastAsia="宋体" w:cs="黑体"/>
          <w:b/>
          <w:bCs/>
          <w:sz w:val="28"/>
          <w:szCs w:val="32"/>
          <w14:ligatures w14:val="none"/>
        </w:rPr>
        <w:t>七、附加成绩计算方法</w:t>
      </w:r>
    </w:p>
    <w:p w14:paraId="16486622">
      <w:pPr>
        <w:spacing w:after="80" w:line="360" w:lineRule="auto" w:before="0"/>
        <w:ind w:firstLineChars="200" w:firstLine="482"/>
        <w:jc w:val="both"/>
        <w:rPr>
          <w:rFonts w:hint="eastAsia" w:ascii="仿宋_GB2312" w:hAnsi="仿宋_GB2312" w:eastAsia="仿宋_GB2312" w:cs="仿宋_GB2312"/>
          <w:spacing w:val="3"/>
          <w:sz w:val="32"/>
          <w:szCs w:val="32"/>
        </w:rPr>
      </w:pPr>
      <w:r>
        <w:rPr>
          <w:rFonts w:hint="eastAsia" w:ascii="Times New Roman" w:hAnsi="Times New Roman" w:eastAsia="宋体" w:cs="仿宋_GB2312"/>
          <w:b w:val="0"/>
          <w:spacing w:val="2"/>
          <w:sz w:val="24"/>
          <w:szCs w:val="32"/>
        </w:rPr>
        <w:t>附加成绩由参军入伍服兵役、</w:t>
      </w:r>
      <w:r>
        <w:rPr>
          <w:rFonts w:hint="eastAsia" w:ascii="Times New Roman" w:hAnsi="Times New Roman" w:eastAsia="宋体" w:cs="仿宋_GB2312"/>
          <w:b w:val="0"/>
          <w:spacing w:val="9"/>
          <w:sz w:val="24"/>
          <w:szCs w:val="32"/>
        </w:rPr>
        <w:t>参加志愿服务或到国际组织实习、大学生学科竞赛获奖、科研创新成果及个人国家级、省级综合类荣誉称号等</w:t>
      </w:r>
      <w:r>
        <w:rPr>
          <w:rFonts w:hint="eastAsia" w:ascii="Times New Roman" w:hAnsi="Times New Roman" w:eastAsia="宋体" w:cs="仿宋_GB2312"/>
          <w:b w:val="0"/>
          <w:spacing w:val="2"/>
          <w:sz w:val="24"/>
          <w:szCs w:val="32"/>
        </w:rPr>
        <w:t>部分组成，认定上限为</w:t>
      </w:r>
      <w:r>
        <w:rPr>
          <w:rFonts w:hint="eastAsia" w:ascii="Times New Roman" w:hAnsi="Times New Roman" w:eastAsia="宋体" w:cs="仿宋_GB2312"/>
          <w:b w:val="0"/>
          <w:spacing w:val="-42"/>
          <w:sz w:val="24"/>
          <w:szCs w:val="32"/>
        </w:rPr>
        <w:t xml:space="preserve"> </w:t>
      </w:r>
      <w:r>
        <w:rPr>
          <w:rFonts w:hint="eastAsia" w:ascii="Times New Roman" w:hAnsi="Times New Roman" w:eastAsia="宋体" w:cs="仿宋_GB2312"/>
          <w:b w:val="0"/>
          <w:spacing w:val="2"/>
          <w:sz w:val="24"/>
          <w:szCs w:val="32"/>
        </w:rPr>
        <w:t>6</w:t>
      </w:r>
      <w:r>
        <w:rPr>
          <w:rFonts w:hint="eastAsia" w:ascii="Times New Roman" w:hAnsi="Times New Roman" w:eastAsia="宋体" w:cs="仿宋_GB2312"/>
          <w:b w:val="0"/>
          <w:spacing w:val="-60"/>
          <w:sz w:val="24"/>
          <w:szCs w:val="32"/>
        </w:rPr>
        <w:t xml:space="preserve"> </w:t>
      </w:r>
      <w:r>
        <w:rPr>
          <w:rFonts w:hint="eastAsia" w:ascii="Times New Roman" w:hAnsi="Times New Roman" w:eastAsia="宋体" w:cs="仿宋_GB2312"/>
          <w:b w:val="0"/>
          <w:spacing w:val="2"/>
          <w:sz w:val="24"/>
          <w:szCs w:val="32"/>
        </w:rPr>
        <w:t>分，且每项加分均设置上限，实行</w:t>
      </w:r>
      <w:r>
        <w:rPr>
          <w:rFonts w:hint="eastAsia" w:ascii="Times New Roman" w:hAnsi="Times New Roman" w:eastAsia="宋体" w:cs="仿宋_GB2312"/>
          <w:b w:val="0"/>
          <w:spacing w:val="3"/>
          <w:sz w:val="24"/>
          <w:szCs w:val="32"/>
        </w:rPr>
        <w:t>“代表作制”。</w:t>
      </w:r>
    </w:p>
    <w:p w14:paraId="7282D27B">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ascii="Times New Roman" w:hAnsi="Times New Roman" w:eastAsia="宋体" w:cs="仿宋_GB2312"/>
          <w:b/>
          <w:sz w:val="28"/>
          <w:szCs w:val="32"/>
          <w14:ligatures w14:val="none"/>
        </w:rPr>
        <w:t>（一）参军入伍服兵役</w:t>
      </w:r>
      <w:r>
        <w:rPr>
          <w:rFonts w:hint="eastAsia" w:ascii="Times New Roman" w:hAnsi="Times New Roman" w:eastAsia="宋体" w:cs="仿宋_GB2312"/>
          <w:b/>
          <w:sz w:val="28"/>
          <w:szCs w:val="32"/>
          <w14:ligatures w14:val="none"/>
        </w:rPr>
        <w:t>加分标准</w:t>
      </w:r>
    </w:p>
    <w:p w14:paraId="1FD1B85D">
      <w:pPr>
        <w:widowControl/>
        <w:kinsoku w:val="0"/>
        <w:autoSpaceDE w:val="0"/>
        <w:autoSpaceDN w:val="0"/>
        <w:adjustRightInd w:val="0"/>
        <w:snapToGrid w:val="0"/>
        <w:spacing w:line="360" w:lineRule="auto" w:before="0" w:after="80"/>
        <w:ind w:firstLineChars="200" w:firstLine="482"/>
        <w:jc w:val="both"/>
        <w:textAlignment w:val="baseline"/>
        <w:rPr>
          <w:rFonts w:hint="eastAsia" w:ascii="仿宋_GB2312" w:hAnsi="仿宋_GB2312" w:eastAsia="仿宋_GB2312" w:cs="仿宋_GB2312"/>
          <w:spacing w:val="-4"/>
          <w:sz w:val="32"/>
          <w:szCs w:val="32"/>
        </w:rPr>
      </w:pPr>
      <w:r>
        <w:rPr>
          <w:rFonts w:hint="eastAsia" w:ascii="Times New Roman" w:hAnsi="Times New Roman" w:eastAsia="宋体" w:cs="仿宋_GB2312"/>
          <w:b w:val="0"/>
          <w:spacing w:val="-4"/>
          <w:sz w:val="24"/>
          <w:szCs w:val="32"/>
        </w:rPr>
        <w:t>按照规定的服役周期节点退出现役的在校生加2分；在普通服兵役加分基础上，被评为“优秀士兵”“优秀士官”的学生每次另加0.5分，荣立三等功及以上加1分，该项加分上限为3分。</w:t>
      </w:r>
    </w:p>
    <w:p w14:paraId="4B9A8F0B">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ascii="Times New Roman" w:hAnsi="Times New Roman" w:eastAsia="宋体" w:cs="仿宋_GB2312"/>
          <w:b/>
          <w:sz w:val="28"/>
          <w:szCs w:val="32"/>
          <w14:ligatures w14:val="none"/>
        </w:rPr>
        <w:t>（二）参加志愿服务或到国际组织实习</w:t>
      </w:r>
      <w:r>
        <w:rPr>
          <w:rFonts w:hint="eastAsia" w:ascii="Times New Roman" w:hAnsi="Times New Roman" w:eastAsia="宋体" w:cs="仿宋_GB2312"/>
          <w:b/>
          <w:sz w:val="28"/>
          <w:szCs w:val="32"/>
          <w14:ligatures w14:val="none"/>
        </w:rPr>
        <w:t>加分标准</w:t>
      </w:r>
    </w:p>
    <w:p w14:paraId="036E68E0">
      <w:pPr>
        <w:pStyle w:val="12"/>
        <w:spacing w:line="360" w:lineRule="auto" w:before="0" w:after="80"/>
        <w:ind w:firstLineChars="200" w:firstLine="482"/>
        <w:jc w:val="both"/>
        <w:rPr>
          <w:rFonts w:hint="eastAsia"/>
          <w:color w:val="auto"/>
          <w:spacing w:val="1"/>
          <w:sz w:val="32"/>
          <w:szCs w:val="32"/>
          <w:lang w:eastAsia="zh-CN"/>
        </w:rPr>
      </w:pPr>
      <w:r>
        <w:rPr>
          <w:rFonts w:hint="eastAsia" w:ascii="Times New Roman" w:hAnsi="Times New Roman" w:eastAsia="宋体"/>
          <w:b w:val="0"/>
          <w:color w:val="auto"/>
          <w:spacing w:val="-4"/>
          <w:sz w:val="24"/>
          <w:szCs w:val="32"/>
          <w:lang w:eastAsia="zh-CN"/>
        </w:rPr>
        <w:t>参加由学校组织招募的志愿服务累计满80小时的基础上，原则上，参加由学校招募的国家级、国际级重大活动、赛事、会议等不少于1周的志愿服务，或赴国际组织实习1周及以上且表现突出，可予以加分。服务或实习每类各只认定1次，加分标准为每项0.25分/次，该项上限0.5分。</w:t>
      </w:r>
    </w:p>
    <w:p w14:paraId="3DB9FE9D">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ascii="Times New Roman" w:hAnsi="Times New Roman" w:eastAsia="宋体" w:cs="仿宋_GB2312"/>
          <w:b/>
          <w:sz w:val="28"/>
          <w:szCs w:val="32"/>
          <w14:ligatures w14:val="none"/>
        </w:rPr>
        <w:t>（三）大学生</w:t>
      </w:r>
      <w:r>
        <w:rPr>
          <w:rFonts w:hint="eastAsia" w:ascii="Times New Roman" w:hAnsi="Times New Roman" w:eastAsia="宋体" w:cs="仿宋_GB2312"/>
          <w:b/>
          <w:sz w:val="28"/>
          <w:szCs w:val="32"/>
          <w14:ligatures w14:val="none"/>
        </w:rPr>
        <w:t>学科</w:t>
      </w:r>
      <w:r>
        <w:rPr>
          <w:rFonts w:ascii="Times New Roman" w:hAnsi="Times New Roman" w:eastAsia="宋体" w:cs="仿宋_GB2312"/>
          <w:b/>
          <w:sz w:val="28"/>
          <w:szCs w:val="32"/>
          <w14:ligatures w14:val="none"/>
        </w:rPr>
        <w:t>竞赛获奖</w:t>
      </w:r>
      <w:r>
        <w:rPr>
          <w:rFonts w:hint="eastAsia" w:ascii="Times New Roman" w:hAnsi="Times New Roman" w:eastAsia="宋体" w:cs="仿宋_GB2312"/>
          <w:b/>
          <w:sz w:val="28"/>
          <w:szCs w:val="32"/>
          <w14:ligatures w14:val="none"/>
        </w:rPr>
        <w:t>加分标准</w:t>
      </w:r>
    </w:p>
    <w:p w14:paraId="2369B171">
      <w:pPr>
        <w:pStyle w:val="12"/>
        <w:spacing w:line="360" w:lineRule="auto" w:before="0" w:after="80"/>
        <w:ind w:firstLineChars="200" w:firstLine="482"/>
        <w:jc w:val="both"/>
        <w:rPr>
          <w:rFonts w:hint="eastAsia"/>
          <w:color w:val="auto"/>
          <w:spacing w:val="-4"/>
          <w:sz w:val="32"/>
          <w:szCs w:val="32"/>
          <w:lang w:eastAsia="zh-CN"/>
        </w:rPr>
      </w:pPr>
      <w:r>
        <w:rPr>
          <w:rFonts w:hint="eastAsia" w:ascii="Times New Roman" w:hAnsi="Times New Roman" w:eastAsia="宋体"/>
          <w:b w:val="0"/>
          <w:color w:val="auto"/>
          <w:spacing w:val="-4"/>
          <w:sz w:val="24"/>
          <w:szCs w:val="32"/>
          <w:lang w:eastAsia="zh-CN"/>
        </w:rPr>
        <w:t>作为主力队员参加学校组织报名的竞赛，根据学校现行《河北科技大学本科生学科竞赛管理办法》，竞赛范围为</w:t>
      </w:r>
      <w:r>
        <w:rPr>
          <w:rFonts w:hint="eastAsia" w:ascii="Times New Roman" w:hAnsi="Times New Roman" w:eastAsia="宋体"/>
          <w:b w:val="0"/>
          <w:color w:val="auto"/>
          <w:sz w:val="24"/>
          <w:szCs w:val="32"/>
          <w:lang w:eastAsia="zh-CN"/>
        </w:rPr>
        <w:t>学院认定的</w:t>
      </w:r>
      <w:r>
        <w:rPr>
          <w:rFonts w:hint="eastAsia" w:ascii="Times New Roman" w:hAnsi="Times New Roman" w:eastAsia="宋体"/>
          <w:b w:val="0"/>
          <w:color w:val="auto"/>
          <w:spacing w:val="-4"/>
          <w:sz w:val="24"/>
          <w:szCs w:val="32"/>
          <w:lang w:eastAsia="zh-CN"/>
        </w:rPr>
        <w:t>一类竞赛 A、B、C、D 四个等级竞赛（详见附件1），本项加分仅限全国奖，第一完成单位为河北科技大学。</w:t>
      </w:r>
    </w:p>
    <w:p w14:paraId="28C8FED0">
      <w:pPr>
        <w:pStyle w:val="12"/>
        <w:spacing w:line="360" w:lineRule="auto" w:before="0" w:after="80"/>
        <w:ind w:firstLineChars="200" w:firstLine="482"/>
        <w:jc w:val="both"/>
        <w:rPr>
          <w:rFonts w:hint="eastAsia"/>
          <w:color w:val="auto"/>
          <w:spacing w:val="2"/>
          <w:sz w:val="32"/>
          <w:szCs w:val="32"/>
          <w:lang w:eastAsia="zh-CN"/>
        </w:rPr>
      </w:pPr>
      <w:r>
        <w:rPr>
          <w:rFonts w:hint="eastAsia" w:ascii="Times New Roman" w:hAnsi="Times New Roman" w:eastAsia="宋体"/>
          <w:b w:val="0"/>
          <w:color w:val="auto"/>
          <w:spacing w:val="-4"/>
          <w:sz w:val="24"/>
          <w:szCs w:val="32"/>
          <w:lang w:eastAsia="zh-CN"/>
        </w:rPr>
        <w:t>一类竞赛获国家级奖参照《大学生学科竞赛加分对应表》（表2）所列标准予以加分，其中，团队参赛中获奖证书明确排名的，前3名按照该标准予以加分，第4、5名按照乘系数0.5予以加分，第6名及以后不做附加分认定;无法确定排名的，队员为5名以内的，按照乘系数0.6予以加分，超过5名的不做附加分认定。</w:t>
      </w:r>
      <w:r>
        <w:rPr>
          <w:rFonts w:hint="eastAsia" w:ascii="Times New Roman" w:hAnsi="Times New Roman" w:eastAsia="宋体"/>
          <w:b w:val="0"/>
          <w:color w:val="auto"/>
          <w:spacing w:val="2"/>
          <w:sz w:val="24"/>
          <w:szCs w:val="32"/>
          <w:lang w:eastAsia="zh-CN"/>
        </w:rPr>
        <w:t>竞</w:t>
      </w:r>
      <w:r>
        <w:rPr>
          <w:rFonts w:hint="eastAsia" w:ascii="Times New Roman" w:hAnsi="Times New Roman" w:eastAsia="宋体"/>
          <w:b w:val="0"/>
          <w:color w:val="auto"/>
          <w:spacing w:val="9"/>
          <w:sz w:val="24"/>
          <w:szCs w:val="32"/>
          <w:lang w:eastAsia="zh-CN"/>
        </w:rPr>
        <w:t>赛</w:t>
      </w:r>
      <w:r>
        <w:rPr>
          <w:rFonts w:hint="eastAsia" w:ascii="Times New Roman" w:hAnsi="Times New Roman" w:eastAsia="宋体"/>
          <w:b w:val="0"/>
          <w:color w:val="auto"/>
          <w:spacing w:val="2"/>
          <w:sz w:val="24"/>
          <w:szCs w:val="32"/>
          <w:lang w:eastAsia="zh-CN"/>
        </w:rPr>
        <w:t>获奖等级以该项赛事当年的奖项设置为依据，竞赛分级以报名时学校正在执行的相关文件为准。如竞赛中存在特等奖，且特等奖唯一，则特等奖和一等奖均为第一档，后续奖依次类推，截止到三等奖；如竞赛中存在特等奖，且特等奖不唯一，则特等奖为第一档，一等奖为第二档，后续奖依次类推，截止到三等奖；如竞赛中不存在特等奖，则一等奖为第一档，后续奖依次类推，截止到三等奖。</w:t>
      </w:r>
    </w:p>
    <w:p w14:paraId="41E44555">
      <w:pPr>
        <w:pStyle w:val="12"/>
        <w:spacing w:line="360" w:lineRule="auto" w:before="0" w:after="80"/>
        <w:ind w:firstLineChars="200" w:firstLine="482"/>
        <w:jc w:val="both"/>
        <w:rPr>
          <w:rFonts w:hint="eastAsia"/>
          <w:color w:val="auto"/>
          <w:spacing w:val="2"/>
          <w:sz w:val="32"/>
          <w:szCs w:val="32"/>
          <w:lang w:eastAsia="zh-CN"/>
        </w:rPr>
      </w:pPr>
      <w:r>
        <w:rPr>
          <w:rFonts w:hint="eastAsia" w:ascii="Times New Roman" w:hAnsi="Times New Roman" w:eastAsia="宋体"/>
          <w:b w:val="0"/>
          <w:color w:val="auto"/>
          <w:spacing w:val="2"/>
          <w:sz w:val="24"/>
          <w:szCs w:val="32"/>
          <w:lang w:eastAsia="zh-CN"/>
        </w:rPr>
        <w:t>学科竞赛的专项赛获奖按照</w:t>
      </w:r>
      <w:r>
        <w:rPr>
          <w:rFonts w:hint="eastAsia" w:ascii="Times New Roman" w:hAnsi="Times New Roman" w:eastAsia="宋体"/>
          <w:b w:val="0"/>
          <w:color w:val="auto"/>
          <w:spacing w:val="6"/>
          <w:sz w:val="24"/>
          <w:szCs w:val="32"/>
          <w:lang w:eastAsia="zh-CN"/>
        </w:rPr>
        <w:t>《大学生学科竞赛加分对应表》</w:t>
      </w:r>
      <w:r>
        <w:rPr>
          <w:rFonts w:hint="eastAsia" w:ascii="Times New Roman" w:hAnsi="Times New Roman" w:eastAsia="宋体"/>
          <w:b w:val="0"/>
          <w:color w:val="auto"/>
          <w:spacing w:val="2"/>
          <w:sz w:val="24"/>
          <w:szCs w:val="32"/>
          <w:lang w:eastAsia="zh-CN"/>
        </w:rPr>
        <w:t>的标准基础上乘系数0.5。</w:t>
      </w:r>
    </w:p>
    <w:p w14:paraId="6D44AA90">
      <w:pPr>
        <w:spacing w:after="80" w:line="360" w:lineRule="auto" w:before="0"/>
        <w:ind w:firstLineChars="200" w:firstLine="482"/>
        <w:jc w:val="both"/>
        <w:rPr>
          <w:rFonts w:hint="eastAsia" w:ascii="仿宋_GB2312" w:hAnsi="仿宋_GB2312" w:eastAsia="仿宋_GB2312" w:cs="仿宋_GB2312"/>
          <w:sz w:val="24"/>
          <w14:ligatures w14:val="none"/>
        </w:rPr>
      </w:pPr>
      <w:r>
        <w:rPr>
          <w:rFonts w:hint="eastAsia" w:ascii="Times New Roman" w:hAnsi="Times New Roman" w:eastAsia="宋体" w:cs="仿宋_GB2312"/>
          <w:b w:val="0"/>
          <w:spacing w:val="6"/>
          <w:sz w:val="24"/>
          <w:szCs w:val="32"/>
        </w:rPr>
        <w:t>本科生在学期间所有的竞赛获奖项目中，只取1个最高加分项加分</w:t>
      </w:r>
      <w:r>
        <w:rPr>
          <w:rFonts w:hint="eastAsia" w:ascii="Times New Roman" w:hAnsi="Times New Roman" w:eastAsia="宋体" w:cs="仿宋_GB2312"/>
          <w:b w:val="0"/>
          <w:sz w:val="24"/>
          <w:szCs w:val="32"/>
        </w:rPr>
        <w:t>，该项加分上限为4</w:t>
      </w:r>
      <w:r>
        <w:rPr>
          <w:rFonts w:hint="eastAsia" w:ascii="Times New Roman" w:hAnsi="Times New Roman" w:eastAsia="宋体" w:cs="仿宋_GB2312"/>
          <w:b w:val="0"/>
          <w:spacing w:val="-59"/>
          <w:sz w:val="24"/>
          <w:szCs w:val="32"/>
        </w:rPr>
        <w:t xml:space="preserve"> </w:t>
      </w:r>
      <w:r>
        <w:rPr>
          <w:rFonts w:hint="eastAsia" w:ascii="Times New Roman" w:hAnsi="Times New Roman" w:eastAsia="宋体" w:cs="仿宋_GB2312"/>
          <w:b w:val="0"/>
          <w:sz w:val="24"/>
          <w:szCs w:val="32"/>
        </w:rPr>
        <w:t>分。</w:t>
      </w:r>
    </w:p>
    <w:p w14:paraId="63CFA7A1">
      <w:pPr>
        <w:spacing w:after="0" w:line="560" w:lineRule="exact"/>
        <w:jc w:val="center"/>
        <w:rPr>
          <w:rFonts w:ascii="仿宋_GB2312" w:hAnsi="仿宋_GB2312" w:eastAsia="仿宋_GB2312" w:cs="仿宋_GB2312"/>
          <w:sz w:val="32"/>
          <w:szCs w:val="32"/>
          <w14:ligatures w14:val="none"/>
        </w:rPr>
      </w:pPr>
    </w:p>
    <w:p w14:paraId="7E504A99">
      <w:pPr>
        <w:numPr>
          <w:ilvl w:val="255"/>
          <w:numId w:val="0"/>
        </w:numPr>
        <w:spacing w:after="60" w:line="360" w:lineRule="auto" w:before="120"/>
        <w:ind w:firstLine="0"/>
        <w:jc w:val="left"/>
        <w:rPr>
          <w:rFonts w:hint="eastAsia" w:ascii="仿宋_GB2312" w:eastAsia="仿宋_GB2312"/>
          <w:sz w:val="32"/>
          <w:szCs w:val="32"/>
        </w:rPr>
      </w:pPr>
      <w:r>
        <w:rPr>
          <w:rFonts w:hint="eastAsia" w:ascii="Times New Roman" w:eastAsia="宋体" w:hAnsi="Times New Roman"/>
          <w:b/>
          <w:sz w:val="24"/>
          <w:szCs w:val="32"/>
        </w:rPr>
        <w:t>表2 大学生学科竞赛加分对应表</w:t>
      </w:r>
    </w:p>
    <w:tbl>
      <w:tblPr>
        <w:tblStyle w:val="40"/>
        <w:tblW w:w="88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2"/>
        <w:gridCol w:w="1664"/>
        <w:gridCol w:w="1911"/>
        <w:gridCol w:w="1912"/>
        <w:gridCol w:w="1912"/>
      </w:tblGrid>
      <w:tr w14:paraId="5DB831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472" w:type="dxa"/>
            <w:tcBorders>
              <w:tl2br w:val="single" w:color="000000" w:sz="4" w:space="0"/>
            </w:tcBorders>
          </w:tcPr>
          <w:p w14:paraId="694ACC30">
            <w:pPr>
              <w:spacing w:after="0" w:line="276" w:lineRule="auto" w:before="0"/>
              <w:ind w:firstLine="0"/>
              <w:jc w:val="right"/>
              <w:rPr>
                <w:rFonts w:hint="eastAsia" w:ascii="仿宋_GB2312" w:hAnsi="仿宋_GB2312" w:eastAsia="仿宋_GB2312" w:cs="仿宋_GB2312"/>
                <w:sz w:val="24"/>
                <w14:ligatures w14:val="none"/>
              </w:rPr>
            </w:pPr>
            <w:r>
              <w:rPr>
                <w:rFonts w:ascii="Times New Roman" w:hAnsi="Times New Roman" w:eastAsia="宋体" w:cs="仿宋_GB2312"/>
                <w:b w:val="0"/>
                <w:sz w:val="21"/>
                <w14:ligatures w14:val="none"/>
              </w:rPr>
              <w:t>等级</w:t>
            </w:r>
          </w:p>
          <w:p w14:paraId="758829F9">
            <w:pPr>
              <w:spacing w:after="0" w:line="276" w:lineRule="auto" w:before="0"/>
              <w:ind w:firstLineChars="100" w:firstLine="0"/>
              <w:rPr>
                <w:rFonts w:hint="eastAsia" w:ascii="仿宋_GB2312" w:hAnsi="仿宋_GB2312" w:eastAsia="仿宋_GB2312" w:cs="仿宋_GB2312"/>
                <w:sz w:val="24"/>
                <w14:ligatures w14:val="none"/>
              </w:rPr>
            </w:pPr>
            <w:r>
              <w:rPr>
                <w:rFonts w:ascii="Times New Roman" w:hAnsi="Times New Roman" w:eastAsia="宋体" w:cs="仿宋_GB2312"/>
                <w:b w:val="0"/>
                <w:sz w:val="21"/>
                <w14:ligatures w14:val="none"/>
              </w:rPr>
              <w:t>类别</w:t>
            </w:r>
          </w:p>
        </w:tc>
        <w:tc>
          <w:tcPr>
            <w:tcW w:w="1664" w:type="dxa"/>
            <w:vAlign w:val="center"/>
          </w:tcPr>
          <w:p w14:paraId="03BF1BD0">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第一档</w:t>
            </w:r>
          </w:p>
          <w:p w14:paraId="559AB2D5">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或金奖</w:t>
            </w:r>
          </w:p>
        </w:tc>
        <w:tc>
          <w:tcPr>
            <w:tcW w:w="1911" w:type="dxa"/>
            <w:vAlign w:val="center"/>
          </w:tcPr>
          <w:p w14:paraId="2ACB7F08">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第二档</w:t>
            </w:r>
          </w:p>
          <w:p w14:paraId="5BD50DBA">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或银奖</w:t>
            </w:r>
          </w:p>
        </w:tc>
        <w:tc>
          <w:tcPr>
            <w:tcW w:w="1912" w:type="dxa"/>
            <w:vAlign w:val="center"/>
          </w:tcPr>
          <w:p w14:paraId="177C7EC6">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第三档</w:t>
            </w:r>
          </w:p>
          <w:p w14:paraId="1E18427B">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或铜奖</w:t>
            </w:r>
          </w:p>
        </w:tc>
        <w:tc>
          <w:tcPr>
            <w:tcW w:w="1912" w:type="dxa"/>
            <w:vAlign w:val="center"/>
          </w:tcPr>
          <w:p w14:paraId="23BB2647">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第四档</w:t>
            </w:r>
          </w:p>
        </w:tc>
      </w:tr>
      <w:tr w14:paraId="440AA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1472" w:type="dxa"/>
            <w:vAlign w:val="center"/>
          </w:tcPr>
          <w:p w14:paraId="7E40C54D">
            <w:pPr>
              <w:spacing w:after="0" w:line="276" w:lineRule="auto" w:before="0"/>
              <w:ind w:firstLine="0"/>
              <w:jc w:val="center"/>
              <w:rPr>
                <w:rFonts w:hint="eastAsia" w:ascii="仿宋_GB2312" w:hAnsi="仿宋_GB2312" w:eastAsia="仿宋_GB2312" w:cs="仿宋_GB2312"/>
                <w:sz w:val="24"/>
                <w14:ligatures w14:val="none"/>
              </w:rPr>
            </w:pPr>
            <w:r>
              <w:rPr>
                <w:rFonts w:ascii="Times New Roman" w:hAnsi="Times New Roman" w:eastAsia="宋体" w:cs="仿宋_GB2312"/>
                <w:b w:val="0"/>
                <w:sz w:val="21"/>
                <w14:ligatures w14:val="none"/>
              </w:rPr>
              <w:t>A级</w:t>
            </w:r>
          </w:p>
        </w:tc>
        <w:tc>
          <w:tcPr>
            <w:tcW w:w="1664" w:type="dxa"/>
            <w:vAlign w:val="center"/>
          </w:tcPr>
          <w:p w14:paraId="15DE1BC7">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4</w:t>
            </w:r>
          </w:p>
        </w:tc>
        <w:tc>
          <w:tcPr>
            <w:tcW w:w="1911" w:type="dxa"/>
            <w:vAlign w:val="center"/>
          </w:tcPr>
          <w:p w14:paraId="04DC5E10">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3.5</w:t>
            </w:r>
          </w:p>
        </w:tc>
        <w:tc>
          <w:tcPr>
            <w:tcW w:w="1912" w:type="dxa"/>
            <w:vAlign w:val="center"/>
          </w:tcPr>
          <w:p w14:paraId="15114B34">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3</w:t>
            </w:r>
          </w:p>
        </w:tc>
        <w:tc>
          <w:tcPr>
            <w:tcW w:w="1912" w:type="dxa"/>
            <w:vAlign w:val="center"/>
          </w:tcPr>
          <w:p w14:paraId="537ED6FE">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2.5</w:t>
            </w:r>
          </w:p>
        </w:tc>
      </w:tr>
      <w:tr w14:paraId="53B6B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1472" w:type="dxa"/>
            <w:vAlign w:val="center"/>
          </w:tcPr>
          <w:p w14:paraId="67591849">
            <w:pPr>
              <w:spacing w:after="0" w:line="276" w:lineRule="auto" w:before="0"/>
              <w:ind w:firstLine="0"/>
              <w:jc w:val="center"/>
              <w:rPr>
                <w:rFonts w:hint="eastAsia" w:ascii="仿宋_GB2312" w:hAnsi="仿宋_GB2312" w:eastAsia="仿宋_GB2312" w:cs="仿宋_GB2312"/>
                <w:sz w:val="24"/>
                <w14:ligatures w14:val="none"/>
              </w:rPr>
            </w:pPr>
            <w:r>
              <w:rPr>
                <w:rFonts w:ascii="Times New Roman" w:hAnsi="Times New Roman" w:eastAsia="宋体" w:cs="仿宋_GB2312"/>
                <w:b w:val="0"/>
                <w:sz w:val="21"/>
                <w14:ligatures w14:val="none"/>
              </w:rPr>
              <w:t>B级</w:t>
            </w:r>
          </w:p>
        </w:tc>
        <w:tc>
          <w:tcPr>
            <w:tcW w:w="1664" w:type="dxa"/>
            <w:vAlign w:val="center"/>
          </w:tcPr>
          <w:p w14:paraId="600583C8">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3.5</w:t>
            </w:r>
          </w:p>
        </w:tc>
        <w:tc>
          <w:tcPr>
            <w:tcW w:w="1911" w:type="dxa"/>
            <w:vAlign w:val="center"/>
          </w:tcPr>
          <w:p w14:paraId="4E9D72A3">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3</w:t>
            </w:r>
          </w:p>
        </w:tc>
        <w:tc>
          <w:tcPr>
            <w:tcW w:w="1912" w:type="dxa"/>
            <w:vAlign w:val="center"/>
          </w:tcPr>
          <w:p w14:paraId="0943AF09">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2.5</w:t>
            </w:r>
          </w:p>
        </w:tc>
        <w:tc>
          <w:tcPr>
            <w:tcW w:w="1912" w:type="dxa"/>
            <w:vAlign w:val="center"/>
          </w:tcPr>
          <w:p w14:paraId="049E9B41">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2</w:t>
            </w:r>
          </w:p>
        </w:tc>
      </w:tr>
      <w:tr w14:paraId="0D12B1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1472" w:type="dxa"/>
            <w:vAlign w:val="center"/>
          </w:tcPr>
          <w:p w14:paraId="24502B67">
            <w:pPr>
              <w:spacing w:after="0" w:line="276" w:lineRule="auto" w:before="0"/>
              <w:ind w:firstLine="0"/>
              <w:jc w:val="center"/>
              <w:rPr>
                <w:rFonts w:hint="eastAsia" w:ascii="仿宋_GB2312" w:hAnsi="仿宋_GB2312" w:eastAsia="仿宋_GB2312" w:cs="仿宋_GB2312"/>
                <w:sz w:val="24"/>
                <w14:ligatures w14:val="none"/>
              </w:rPr>
            </w:pPr>
            <w:r>
              <w:rPr>
                <w:rFonts w:ascii="Times New Roman" w:hAnsi="Times New Roman" w:eastAsia="宋体" w:cs="仿宋_GB2312"/>
                <w:b w:val="0"/>
                <w:sz w:val="21"/>
                <w14:ligatures w14:val="none"/>
              </w:rPr>
              <w:t>C级</w:t>
            </w:r>
          </w:p>
        </w:tc>
        <w:tc>
          <w:tcPr>
            <w:tcW w:w="1664" w:type="dxa"/>
            <w:vAlign w:val="center"/>
          </w:tcPr>
          <w:p w14:paraId="329DC62A">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3</w:t>
            </w:r>
          </w:p>
        </w:tc>
        <w:tc>
          <w:tcPr>
            <w:tcW w:w="1911" w:type="dxa"/>
            <w:vAlign w:val="center"/>
          </w:tcPr>
          <w:p w14:paraId="69C8187D">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2.5</w:t>
            </w:r>
          </w:p>
        </w:tc>
        <w:tc>
          <w:tcPr>
            <w:tcW w:w="1912" w:type="dxa"/>
            <w:vAlign w:val="center"/>
          </w:tcPr>
          <w:p w14:paraId="3C606E71">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2</w:t>
            </w:r>
          </w:p>
        </w:tc>
        <w:tc>
          <w:tcPr>
            <w:tcW w:w="1912" w:type="dxa"/>
            <w:vAlign w:val="center"/>
          </w:tcPr>
          <w:p w14:paraId="5A79C8A1">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1.5</w:t>
            </w:r>
          </w:p>
        </w:tc>
      </w:tr>
      <w:tr w14:paraId="6BCB02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1472" w:type="dxa"/>
            <w:vAlign w:val="center"/>
          </w:tcPr>
          <w:p w14:paraId="213787AE">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D级</w:t>
            </w:r>
          </w:p>
        </w:tc>
        <w:tc>
          <w:tcPr>
            <w:tcW w:w="1664" w:type="dxa"/>
            <w:vAlign w:val="center"/>
          </w:tcPr>
          <w:p w14:paraId="6A5CD069">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2</w:t>
            </w:r>
          </w:p>
        </w:tc>
        <w:tc>
          <w:tcPr>
            <w:tcW w:w="1911" w:type="dxa"/>
            <w:vAlign w:val="center"/>
          </w:tcPr>
          <w:p w14:paraId="05B440D0">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1</w:t>
            </w:r>
          </w:p>
        </w:tc>
        <w:tc>
          <w:tcPr>
            <w:tcW w:w="1912" w:type="dxa"/>
            <w:vAlign w:val="center"/>
          </w:tcPr>
          <w:p w14:paraId="6F2717EB">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0.5</w:t>
            </w:r>
          </w:p>
        </w:tc>
        <w:tc>
          <w:tcPr>
            <w:tcW w:w="1912" w:type="dxa"/>
            <w:vAlign w:val="center"/>
          </w:tcPr>
          <w:p w14:paraId="49CD8097">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0.5</w:t>
            </w:r>
          </w:p>
        </w:tc>
      </w:tr>
    </w:tbl>
    <w:p w14:paraId="661FC367">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ascii="Times New Roman" w:hAnsi="Times New Roman" w:eastAsia="宋体" w:cs="仿宋_GB2312"/>
          <w:b/>
          <w:sz w:val="28"/>
          <w:szCs w:val="32"/>
          <w14:ligatures w14:val="none"/>
        </w:rPr>
        <w:t>（四）科研创新成果</w:t>
      </w:r>
      <w:r>
        <w:rPr>
          <w:rFonts w:hint="eastAsia" w:ascii="Times New Roman" w:hAnsi="Times New Roman" w:eastAsia="宋体" w:cs="仿宋_GB2312"/>
          <w:b/>
          <w:sz w:val="28"/>
          <w:szCs w:val="32"/>
          <w14:ligatures w14:val="none"/>
        </w:rPr>
        <w:t>加分标准</w:t>
      </w:r>
    </w:p>
    <w:p w14:paraId="6B9829D8">
      <w:pPr>
        <w:spacing w:after="80" w:line="360" w:lineRule="auto" w:before="0"/>
        <w:ind w:firstLineChars="200" w:firstLine="482"/>
        <w:jc w:val="both"/>
        <w:rPr>
          <w:rFonts w:hint="eastAsia" w:ascii="仿宋_GB2312" w:hAnsi="仿宋_GB2312" w:eastAsia="仿宋_GB2312" w:cs="仿宋_GB2312"/>
          <w:sz w:val="32"/>
          <w:szCs w:val="32"/>
          <w14:ligatures w14:val="none"/>
        </w:rPr>
      </w:pPr>
      <w:r>
        <w:rPr>
          <w:rFonts w:ascii="Times New Roman" w:hAnsi="Times New Roman" w:eastAsia="宋体" w:cs="仿宋_GB2312"/>
          <w:b w:val="0"/>
          <w:sz w:val="24"/>
          <w:szCs w:val="32"/>
          <w14:ligatures w14:val="none"/>
        </w:rPr>
        <w:t>科研创新成果包括</w:t>
      </w:r>
      <w:r>
        <w:rPr>
          <w:rFonts w:hint="eastAsia" w:ascii="Times New Roman" w:hAnsi="Times New Roman" w:eastAsia="宋体" w:cs="仿宋_GB2312"/>
          <w:b w:val="0"/>
          <w:sz w:val="24"/>
          <w:szCs w:val="32"/>
          <w14:ligatures w14:val="none"/>
        </w:rPr>
        <w:t>发表的学术论文和发明专利成果。</w:t>
      </w:r>
    </w:p>
    <w:p w14:paraId="478A4518">
      <w:pPr>
        <w:spacing w:after="80" w:line="360" w:lineRule="auto" w:before="160"/>
        <w:ind w:firstLineChars="200" w:firstLine="0"/>
        <w:jc w:val="left"/>
        <w:rPr>
          <w:rFonts w:hint="eastAsia" w:ascii="仿宋_GB2312" w:hAnsi="仿宋_GB2312" w:eastAsia="仿宋_GB2312" w:cs="仿宋_GB2312"/>
          <w:sz w:val="32"/>
          <w:szCs w:val="32"/>
        </w:rPr>
      </w:pPr>
      <w:r>
        <w:rPr>
          <w:rFonts w:hint="eastAsia" w:ascii="Times New Roman" w:hAnsi="Times New Roman" w:eastAsia="宋体" w:cs="仿宋_GB2312"/>
          <w:b/>
          <w:sz w:val="28"/>
          <w:szCs w:val="32"/>
          <w14:ligatures w14:val="none"/>
        </w:rPr>
        <w:t>1.论文的认定需</w:t>
      </w:r>
      <w:r>
        <w:rPr>
          <w:rFonts w:hint="eastAsia" w:ascii="Times New Roman" w:hAnsi="Times New Roman" w:eastAsia="宋体" w:cs="仿宋_GB2312"/>
          <w:b/>
          <w:sz w:val="28"/>
          <w:szCs w:val="32"/>
        </w:rPr>
        <w:t>河北科技大学为第一署名单位，并符合下述条件之一：</w:t>
      </w:r>
    </w:p>
    <w:p w14:paraId="1E898CDA">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（1）申请人为</w:t>
      </w:r>
      <w:r>
        <w:rPr>
          <w:rFonts w:ascii="Times New Roman" w:hAnsi="Times New Roman" w:eastAsia="宋体" w:cs="仿宋_GB2312"/>
          <w:b/>
          <w:sz w:val="28"/>
          <w:szCs w:val="32"/>
          <w14:ligatures w14:val="none"/>
        </w:rPr>
        <w:t>第一作者或独立作者</w:t>
      </w:r>
      <w:r>
        <w:rPr>
          <w:rFonts w:hint="eastAsia" w:ascii="Times New Roman" w:hAnsi="Times New Roman" w:eastAsia="宋体" w:cs="仿宋_GB2312"/>
          <w:b/>
          <w:sz w:val="28"/>
          <w:szCs w:val="32"/>
          <w14:ligatures w14:val="none"/>
        </w:rPr>
        <w:t>;</w:t>
      </w:r>
    </w:p>
    <w:p w14:paraId="1DED4696">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（2）本校导师为第一作者申请人为第二作者;</w:t>
      </w:r>
    </w:p>
    <w:p w14:paraId="32B9B598">
      <w:pPr>
        <w:pStyle w:val="12"/>
        <w:spacing w:line="360" w:lineRule="auto" w:before="0" w:after="80"/>
        <w:ind w:firstLineChars="200" w:firstLine="482"/>
        <w:jc w:val="both"/>
        <w:rPr>
          <w:rFonts w:hint="eastAsia"/>
          <w:color w:val="auto"/>
          <w:sz w:val="32"/>
          <w:szCs w:val="32"/>
          <w:lang w:eastAsia="zh-CN"/>
        </w:rPr>
      </w:pPr>
      <w:r>
        <w:rPr>
          <w:rFonts w:hint="eastAsia" w:ascii="Times New Roman" w:hAnsi="Times New Roman" w:eastAsia="宋体"/>
          <w:b w:val="0"/>
          <w:color w:val="auto"/>
          <w:spacing w:val="5"/>
          <w:sz w:val="24"/>
          <w:szCs w:val="32"/>
          <w:lang w:eastAsia="zh-CN"/>
        </w:rPr>
        <w:t>如有其他本科生为共同第一作者的，只计算排名第一的本科生，论文的认定依据按照学校有关规定执行，其中工、理、医学科论文的认定范围为D档及以上，文、经、管、法、教育、艺术学科论文的认定范围为E档及以上。</w:t>
      </w:r>
    </w:p>
    <w:p w14:paraId="19785E8A">
      <w:pPr>
        <w:pStyle w:val="12"/>
        <w:spacing w:line="360" w:lineRule="auto" w:before="160" w:after="80"/>
        <w:ind w:firstLineChars="200" w:firstLine="0"/>
        <w:jc w:val="left"/>
        <w:rPr>
          <w:rFonts w:hint="eastAsia"/>
          <w:color w:val="auto"/>
          <w:spacing w:val="5"/>
          <w:sz w:val="32"/>
          <w:szCs w:val="32"/>
          <w:lang w:eastAsia="zh-CN"/>
        </w:rPr>
      </w:pPr>
      <w:r>
        <w:rPr>
          <w:rFonts w:hint="eastAsia" w:ascii="Times New Roman" w:hAnsi="Times New Roman" w:eastAsia="宋体"/>
          <w:b/>
          <w:color w:val="auto"/>
          <w:sz w:val="28"/>
          <w:szCs w:val="32"/>
          <w:lang w:eastAsia="zh-CN"/>
        </w:rPr>
        <w:t>2.</w:t>
      </w:r>
      <w:r>
        <w:rPr>
          <w:rFonts w:hint="eastAsia" w:ascii="Times New Roman" w:hAnsi="Times New Roman" w:eastAsia="宋体"/>
          <w:b/>
          <w:color w:val="auto"/>
          <w:spacing w:val="5"/>
          <w:sz w:val="28"/>
          <w:szCs w:val="32"/>
          <w:lang w:eastAsia="zh-CN"/>
        </w:rPr>
        <w:t>发明专利成果的认定需为原始取得、河北科技大学拥有专利权授权且与所学专业相关，并符合下述条件之一：</w:t>
      </w:r>
    </w:p>
    <w:p w14:paraId="39CF9133">
      <w:pPr>
        <w:pStyle w:val="12"/>
        <w:spacing w:line="360" w:lineRule="auto" w:before="160" w:after="80"/>
        <w:ind w:firstLineChars="200" w:firstLine="0"/>
        <w:jc w:val="left"/>
        <w:rPr>
          <w:rFonts w:hint="eastAsia"/>
          <w:color w:val="auto"/>
          <w:spacing w:val="5"/>
          <w:sz w:val="32"/>
          <w:szCs w:val="32"/>
          <w:lang w:eastAsia="zh-CN"/>
        </w:rPr>
      </w:pPr>
      <w:r>
        <w:rPr>
          <w:rFonts w:hint="eastAsia" w:ascii="Times New Roman" w:hAnsi="Times New Roman" w:eastAsia="宋体"/>
          <w:b/>
          <w:color w:val="auto"/>
          <w:spacing w:val="5"/>
          <w:sz w:val="28"/>
          <w:szCs w:val="32"/>
          <w:lang w:eastAsia="zh-CN"/>
        </w:rPr>
        <w:t>（1）以申请人为第一发明人；</w:t>
      </w:r>
    </w:p>
    <w:p w14:paraId="6B022CCA">
      <w:pPr>
        <w:pStyle w:val="12"/>
        <w:spacing w:line="360" w:lineRule="auto" w:before="160" w:after="80"/>
        <w:ind w:firstLineChars="200" w:firstLine="0"/>
        <w:jc w:val="left"/>
        <w:rPr>
          <w:rFonts w:hint="eastAsia"/>
          <w:color w:val="auto"/>
          <w:spacing w:val="5"/>
          <w:sz w:val="32"/>
          <w:szCs w:val="32"/>
          <w:lang w:eastAsia="zh-CN"/>
        </w:rPr>
      </w:pPr>
      <w:r>
        <w:rPr>
          <w:rFonts w:hint="eastAsia" w:ascii="Times New Roman" w:hAnsi="Times New Roman" w:eastAsia="宋体"/>
          <w:b/>
          <w:color w:val="auto"/>
          <w:spacing w:val="5"/>
          <w:sz w:val="28"/>
          <w:szCs w:val="32"/>
          <w:lang w:eastAsia="zh-CN"/>
        </w:rPr>
        <w:t>（2）导师为第一发明人，申请人为第二发明人。</w:t>
      </w:r>
    </w:p>
    <w:p w14:paraId="4D7D245D">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3.</w:t>
      </w:r>
      <w:r>
        <w:rPr>
          <w:rFonts w:ascii="Times New Roman" w:hAnsi="Times New Roman" w:eastAsia="宋体" w:cs="仿宋_GB2312"/>
          <w:b/>
          <w:sz w:val="28"/>
          <w:szCs w:val="32"/>
          <w14:ligatures w14:val="none"/>
        </w:rPr>
        <w:t>科研创新成果加分细则</w:t>
      </w:r>
      <w:r>
        <w:rPr>
          <w:rFonts w:hint="eastAsia" w:ascii="Times New Roman" w:hAnsi="Times New Roman" w:eastAsia="宋体" w:cs="仿宋_GB2312"/>
          <w:b/>
          <w:sz w:val="28"/>
          <w:szCs w:val="32"/>
          <w14:ligatures w14:val="none"/>
        </w:rPr>
        <w:t>详见表3</w:t>
      </w:r>
      <w:r>
        <w:rPr>
          <w:rFonts w:ascii="Times New Roman" w:hAnsi="Times New Roman" w:eastAsia="宋体" w:cs="仿宋_GB2312"/>
          <w:b/>
          <w:sz w:val="28"/>
          <w:szCs w:val="32"/>
          <w14:ligatures w14:val="none"/>
        </w:rPr>
        <w:t>。学术论文</w:t>
      </w:r>
      <w:r>
        <w:rPr>
          <w:rFonts w:hint="eastAsia" w:ascii="Times New Roman" w:hAnsi="Times New Roman" w:eastAsia="宋体" w:cs="仿宋_GB2312"/>
          <w:b/>
          <w:sz w:val="28"/>
          <w:szCs w:val="32"/>
          <w14:ligatures w14:val="none"/>
        </w:rPr>
        <w:t>最高加分为2分</w:t>
      </w:r>
      <w:r>
        <w:rPr>
          <w:rFonts w:ascii="Times New Roman" w:hAnsi="Times New Roman" w:eastAsia="宋体" w:cs="仿宋_GB2312"/>
          <w:b/>
          <w:sz w:val="28"/>
          <w:szCs w:val="32"/>
          <w14:ligatures w14:val="none"/>
        </w:rPr>
        <w:t>、</w:t>
      </w:r>
      <w:r>
        <w:rPr>
          <w:rFonts w:hint="eastAsia" w:ascii="Times New Roman" w:hAnsi="Times New Roman" w:eastAsia="宋体" w:cs="仿宋_GB2312"/>
          <w:b/>
          <w:sz w:val="28"/>
          <w:szCs w:val="32"/>
          <w14:ligatures w14:val="none"/>
        </w:rPr>
        <w:t>发明</w:t>
      </w:r>
      <w:r>
        <w:rPr>
          <w:rFonts w:ascii="Times New Roman" w:hAnsi="Times New Roman" w:eastAsia="宋体" w:cs="仿宋_GB2312"/>
          <w:b/>
          <w:sz w:val="28"/>
          <w:szCs w:val="32"/>
          <w14:ligatures w14:val="none"/>
        </w:rPr>
        <w:t>专利成果</w:t>
      </w:r>
      <w:r>
        <w:rPr>
          <w:rFonts w:hint="eastAsia" w:ascii="Times New Roman" w:hAnsi="Times New Roman" w:eastAsia="宋体" w:cs="仿宋_GB2312"/>
          <w:b/>
          <w:sz w:val="28"/>
          <w:szCs w:val="32"/>
          <w14:ligatures w14:val="none"/>
        </w:rPr>
        <w:t>最高加分为1分，</w:t>
      </w:r>
      <w:r>
        <w:rPr>
          <w:rFonts w:ascii="Times New Roman" w:hAnsi="Times New Roman" w:eastAsia="宋体" w:cs="仿宋_GB2312"/>
          <w:b/>
          <w:sz w:val="28"/>
          <w:szCs w:val="32"/>
          <w14:ligatures w14:val="none"/>
        </w:rPr>
        <w:t>同时申请加分时，原则上只取最高加分项加分1次</w:t>
      </w:r>
      <w:r>
        <w:rPr>
          <w:rFonts w:hint="eastAsia" w:ascii="Times New Roman" w:hAnsi="Times New Roman" w:eastAsia="宋体" w:cs="仿宋_GB2312"/>
          <w:b/>
          <w:sz w:val="28"/>
          <w:szCs w:val="32"/>
          <w14:ligatures w14:val="none"/>
        </w:rPr>
        <w:t>，</w:t>
      </w:r>
      <w:r>
        <w:rPr>
          <w:rFonts w:ascii="Times New Roman" w:hAnsi="Times New Roman" w:eastAsia="宋体" w:cs="仿宋_GB2312"/>
          <w:b/>
          <w:sz w:val="28"/>
          <w:szCs w:val="32"/>
          <w14:ligatures w14:val="none"/>
        </w:rPr>
        <w:t>该项加分上限为2分。</w:t>
      </w:r>
    </w:p>
    <w:p w14:paraId="54E8DBAD">
      <w:pPr>
        <w:numPr>
          <w:ilvl w:val="255"/>
          <w:numId w:val="0"/>
        </w:numPr>
        <w:spacing w:after="60" w:line="360" w:lineRule="auto" w:before="120"/>
        <w:ind w:firstLine="0"/>
        <w:jc w:val="left"/>
        <w:rPr>
          <w:rFonts w:hint="eastAsia" w:ascii="仿宋_GB2312" w:eastAsia="仿宋_GB2312"/>
          <w:sz w:val="32"/>
          <w:szCs w:val="32"/>
        </w:rPr>
      </w:pPr>
      <w:bookmarkStart w:id="6" w:name="_Hlk205822479"/>
      <w:r>
        <w:rPr>
          <w:rFonts w:hint="eastAsia" w:ascii="Times New Roman" w:eastAsia="宋体" w:hAnsi="Times New Roman"/>
          <w:b/>
          <w:sz w:val="24"/>
          <w:szCs w:val="32"/>
        </w:rPr>
        <w:t>表3 科研创新成果加分明细表</w:t>
      </w:r>
    </w:p>
    <w:tbl>
      <w:tblPr>
        <w:tblStyle w:val="40"/>
        <w:tblW w:w="90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32"/>
        <w:gridCol w:w="2769"/>
      </w:tblGrid>
      <w:tr w14:paraId="40FE6A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6232" w:type="dxa"/>
            <w:vAlign w:val="center"/>
          </w:tcPr>
          <w:p w14:paraId="0440582A">
            <w:pPr>
              <w:spacing w:after="0" w:line="276" w:lineRule="auto" w:before="0"/>
              <w:ind w:firstLineChars="8"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成果名称及要求</w:t>
            </w:r>
          </w:p>
        </w:tc>
        <w:tc>
          <w:tcPr>
            <w:tcW w:w="2769" w:type="dxa"/>
            <w:vAlign w:val="center"/>
          </w:tcPr>
          <w:p w14:paraId="3382EE58">
            <w:pPr>
              <w:spacing w:after="0" w:line="276" w:lineRule="auto" w:before="0"/>
              <w:ind w:firstLineChars="8"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分数</w:t>
            </w:r>
          </w:p>
        </w:tc>
      </w:tr>
      <w:tr w14:paraId="4EA72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6232" w:type="dxa"/>
            <w:vAlign w:val="center"/>
          </w:tcPr>
          <w:p w14:paraId="7B46BEBA">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B类论文</w:t>
            </w:r>
          </w:p>
        </w:tc>
        <w:tc>
          <w:tcPr>
            <w:tcW w:w="2769" w:type="dxa"/>
            <w:vAlign w:val="center"/>
          </w:tcPr>
          <w:p w14:paraId="640FD68F">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2</w:t>
            </w:r>
          </w:p>
        </w:tc>
      </w:tr>
      <w:tr w14:paraId="20F6C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6232" w:type="dxa"/>
            <w:vAlign w:val="center"/>
          </w:tcPr>
          <w:p w14:paraId="7DD72B87">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C类论文</w:t>
            </w:r>
          </w:p>
        </w:tc>
        <w:tc>
          <w:tcPr>
            <w:tcW w:w="2769" w:type="dxa"/>
            <w:vAlign w:val="center"/>
          </w:tcPr>
          <w:p w14:paraId="42ADCF4E">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1.8</w:t>
            </w:r>
          </w:p>
        </w:tc>
      </w:tr>
      <w:tr w14:paraId="0E0451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6232" w:type="dxa"/>
            <w:vAlign w:val="center"/>
          </w:tcPr>
          <w:p w14:paraId="3650E72C">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D类论文（3区）</w:t>
            </w:r>
          </w:p>
        </w:tc>
        <w:tc>
          <w:tcPr>
            <w:tcW w:w="2769" w:type="dxa"/>
            <w:vAlign w:val="center"/>
          </w:tcPr>
          <w:p w14:paraId="58C1631E">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1.4</w:t>
            </w:r>
          </w:p>
        </w:tc>
      </w:tr>
      <w:tr w14:paraId="5B30A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6232" w:type="dxa"/>
            <w:vAlign w:val="center"/>
          </w:tcPr>
          <w:p w14:paraId="56B5F45B">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D类论文（除3区外）</w:t>
            </w:r>
          </w:p>
        </w:tc>
        <w:tc>
          <w:tcPr>
            <w:tcW w:w="2769" w:type="dxa"/>
            <w:vAlign w:val="center"/>
          </w:tcPr>
          <w:p w14:paraId="1D6C34C2">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1</w:t>
            </w:r>
          </w:p>
        </w:tc>
      </w:tr>
      <w:tr w14:paraId="2316A5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6232" w:type="dxa"/>
            <w:vAlign w:val="center"/>
          </w:tcPr>
          <w:p w14:paraId="7481CC7C">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E类论文</w:t>
            </w:r>
          </w:p>
        </w:tc>
        <w:tc>
          <w:tcPr>
            <w:tcW w:w="2769" w:type="dxa"/>
            <w:vAlign w:val="center"/>
          </w:tcPr>
          <w:p w14:paraId="328E95D4">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0.5</w:t>
            </w:r>
          </w:p>
        </w:tc>
      </w:tr>
      <w:tr w14:paraId="217C2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6232" w:type="dxa"/>
          </w:tcPr>
          <w:p w14:paraId="36D17403">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与本专业相关的发明专利</w:t>
            </w:r>
          </w:p>
        </w:tc>
        <w:tc>
          <w:tcPr>
            <w:tcW w:w="2769" w:type="dxa"/>
            <w:vAlign w:val="center"/>
          </w:tcPr>
          <w:p w14:paraId="1C5C7188">
            <w:pPr>
              <w:spacing w:after="0" w:line="276" w:lineRule="auto" w:before="0"/>
              <w:ind w:firstLine="0"/>
              <w:jc w:val="center"/>
              <w:rPr>
                <w:rFonts w:hint="eastAsia" w:ascii="仿宋_GB2312" w:hAnsi="仿宋_GB2312" w:eastAsia="仿宋_GB2312" w:cs="仿宋_GB2312"/>
                <w:sz w:val="24"/>
                <w14:ligatures w14:val="none"/>
              </w:rPr>
            </w:pPr>
            <w:r>
              <w:rPr>
                <w:rFonts w:hint="eastAsia" w:ascii="Times New Roman" w:hAnsi="Times New Roman" w:eastAsia="宋体" w:cs="仿宋_GB2312"/>
                <w:b w:val="0"/>
                <w:sz w:val="21"/>
                <w14:ligatures w14:val="none"/>
              </w:rPr>
              <w:t>1</w:t>
            </w:r>
          </w:p>
        </w:tc>
      </w:tr>
      <w:bookmarkEnd w:id="6"/>
    </w:tbl>
    <w:p w14:paraId="338E3CDE">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ascii="Times New Roman" w:hAnsi="Times New Roman" w:eastAsia="宋体" w:cs="仿宋_GB2312"/>
          <w:b/>
          <w:sz w:val="28"/>
          <w:szCs w:val="32"/>
          <w14:ligatures w14:val="none"/>
        </w:rPr>
        <w:t>（</w:t>
      </w:r>
      <w:r>
        <w:rPr>
          <w:rFonts w:hint="eastAsia" w:ascii="Times New Roman" w:hAnsi="Times New Roman" w:eastAsia="宋体" w:cs="仿宋_GB2312"/>
          <w:b/>
          <w:sz w:val="28"/>
          <w:szCs w:val="32"/>
          <w14:ligatures w14:val="none"/>
        </w:rPr>
        <w:t>五</w:t>
      </w:r>
      <w:r>
        <w:rPr>
          <w:rFonts w:ascii="Times New Roman" w:hAnsi="Times New Roman" w:eastAsia="宋体" w:cs="仿宋_GB2312"/>
          <w:b/>
          <w:sz w:val="28"/>
          <w:szCs w:val="32"/>
          <w14:ligatures w14:val="none"/>
        </w:rPr>
        <w:t>）个人国家级、省级综合类荣誉称号</w:t>
      </w:r>
      <w:r>
        <w:rPr>
          <w:rFonts w:hint="eastAsia" w:ascii="Times New Roman" w:hAnsi="Times New Roman" w:eastAsia="宋体" w:cs="仿宋_GB2312"/>
          <w:b/>
          <w:sz w:val="28"/>
          <w:szCs w:val="32"/>
          <w14:ligatures w14:val="none"/>
        </w:rPr>
        <w:t>加分标准</w:t>
      </w:r>
    </w:p>
    <w:p w14:paraId="72C1E1DE">
      <w:pPr>
        <w:spacing w:after="80" w:line="360" w:lineRule="auto" w:before="0"/>
        <w:ind w:firstLineChars="200" w:firstLine="482"/>
        <w:jc w:val="both"/>
        <w:rPr>
          <w:rFonts w:hint="eastAsia" w:ascii="仿宋_GB2312" w:hAnsi="仿宋_GB2312" w:eastAsia="仿宋_GB2312" w:cs="仿宋_GB2312"/>
          <w:sz w:val="32"/>
          <w:szCs w:val="32"/>
          <w14:ligatures w14:val="none"/>
        </w:rPr>
      </w:pPr>
      <w:r>
        <w:rPr>
          <w:rFonts w:hint="eastAsia" w:ascii="Times New Roman" w:hAnsi="Times New Roman" w:eastAsia="宋体" w:cs="仿宋_GB2312"/>
          <w:b w:val="0"/>
          <w:sz w:val="24"/>
          <w:szCs w:val="32"/>
          <w14:ligatures w14:val="none"/>
        </w:rPr>
        <w:t>荣获个人综合类国家级荣誉称号加</w:t>
      </w:r>
      <w:r>
        <w:rPr>
          <w:rFonts w:ascii="Times New Roman" w:hAnsi="Times New Roman" w:eastAsia="宋体" w:cs="仿宋_GB2312"/>
          <w:b w:val="0"/>
          <w:sz w:val="24"/>
          <w:szCs w:val="32"/>
          <w14:ligatures w14:val="none"/>
        </w:rPr>
        <w:t>0.5</w:t>
      </w:r>
      <w:r>
        <w:rPr>
          <w:rFonts w:hint="eastAsia" w:ascii="Times New Roman" w:hAnsi="Times New Roman" w:eastAsia="宋体" w:cs="仿宋_GB2312"/>
          <w:b w:val="0"/>
          <w:sz w:val="24"/>
          <w:szCs w:val="32"/>
          <w14:ligatures w14:val="none"/>
        </w:rPr>
        <w:t>分，省级综合类荣誉称号加</w:t>
      </w:r>
      <w:r>
        <w:rPr>
          <w:rFonts w:ascii="Times New Roman" w:hAnsi="Times New Roman" w:eastAsia="宋体" w:cs="仿宋_GB2312"/>
          <w:b w:val="0"/>
          <w:sz w:val="24"/>
          <w:szCs w:val="32"/>
          <w14:ligatures w14:val="none"/>
        </w:rPr>
        <w:t>0.2</w:t>
      </w:r>
      <w:r>
        <w:rPr>
          <w:rFonts w:hint="eastAsia" w:ascii="Times New Roman" w:hAnsi="Times New Roman" w:eastAsia="宋体" w:cs="仿宋_GB2312"/>
          <w:b w:val="0"/>
          <w:sz w:val="24"/>
          <w:szCs w:val="32"/>
          <w14:ligatures w14:val="none"/>
        </w:rPr>
        <w:t>分。荣誉限于教育部、团中央、教育厅、团省委颁发的三好学生、优秀学生干部、青年五四奖章（个人、团体获奖计第一负责人）荣誉称号。本科生在学期间获得的所有此类荣誉只取最高级别</w:t>
      </w:r>
      <w:r>
        <w:rPr>
          <w:rFonts w:ascii="Times New Roman" w:hAnsi="Times New Roman" w:eastAsia="宋体" w:cs="仿宋_GB2312"/>
          <w:b w:val="0"/>
          <w:sz w:val="24"/>
          <w:szCs w:val="32"/>
          <w14:ligatures w14:val="none"/>
        </w:rPr>
        <w:t>1</w:t>
      </w:r>
      <w:r>
        <w:rPr>
          <w:rFonts w:hint="eastAsia" w:ascii="Times New Roman" w:hAnsi="Times New Roman" w:eastAsia="宋体" w:cs="仿宋_GB2312"/>
          <w:b w:val="0"/>
          <w:sz w:val="24"/>
          <w:szCs w:val="32"/>
          <w14:ligatures w14:val="none"/>
        </w:rPr>
        <w:t>项，该项加分上限为</w:t>
      </w:r>
      <w:r>
        <w:rPr>
          <w:rFonts w:ascii="Times New Roman" w:hAnsi="Times New Roman" w:eastAsia="宋体" w:cs="仿宋_GB2312"/>
          <w:b w:val="0"/>
          <w:sz w:val="24"/>
          <w:szCs w:val="32"/>
          <w14:ligatures w14:val="none"/>
        </w:rPr>
        <w:t>0.5</w:t>
      </w:r>
      <w:r>
        <w:rPr>
          <w:rFonts w:hint="eastAsia" w:ascii="Times New Roman" w:hAnsi="Times New Roman" w:eastAsia="宋体" w:cs="仿宋_GB2312"/>
          <w:b w:val="0"/>
          <w:sz w:val="24"/>
          <w:szCs w:val="32"/>
          <w14:ligatures w14:val="none"/>
        </w:rPr>
        <w:t>分。</w:t>
      </w:r>
    </w:p>
    <w:p w14:paraId="38EA5098">
      <w:pPr>
        <w:pStyle w:val="12"/>
        <w:spacing w:line="360" w:lineRule="auto" w:before="160" w:after="80"/>
        <w:ind w:firstLineChars="200" w:firstLine="0"/>
        <w:jc w:val="left"/>
        <w:rPr>
          <w:rFonts w:hint="eastAsia"/>
          <w:color w:val="auto"/>
          <w:spacing w:val="8"/>
          <w:sz w:val="32"/>
          <w:szCs w:val="32"/>
          <w:lang w:eastAsia="zh-CN"/>
        </w:rPr>
      </w:pPr>
      <w:r>
        <w:rPr>
          <w:rFonts w:hint="eastAsia" w:ascii="Times New Roman" w:hAnsi="Times New Roman" w:eastAsia="宋体"/>
          <w:b/>
          <w:color w:val="auto"/>
          <w:sz w:val="28"/>
          <w:szCs w:val="32"/>
          <w:lang w:eastAsia="zh-CN"/>
        </w:rPr>
        <w:t>（</w:t>
      </w:r>
      <w:r>
        <w:rPr>
          <w:rFonts w:hint="eastAsia" w:ascii="Times New Roman" w:hAnsi="Times New Roman" w:eastAsia="宋体"/>
          <w:b/>
          <w:color w:val="auto"/>
          <w:sz w:val="28"/>
          <w:szCs w:val="32"/>
          <w:lang w:val="en-US" w:eastAsia="zh-CN"/>
        </w:rPr>
        <w:t>六</w:t>
      </w:r>
      <w:r>
        <w:rPr>
          <w:rFonts w:hint="eastAsia" w:ascii="Times New Roman" w:hAnsi="Times New Roman" w:eastAsia="宋体"/>
          <w:b/>
          <w:color w:val="auto"/>
          <w:sz w:val="28"/>
          <w:szCs w:val="32"/>
          <w:lang w:eastAsia="zh-CN"/>
        </w:rPr>
        <w:t>）</w:t>
      </w:r>
      <w:r>
        <w:rPr>
          <w:rFonts w:hint="eastAsia" w:ascii="Times New Roman" w:hAnsi="Times New Roman" w:eastAsia="宋体"/>
          <w:b/>
          <w:color w:val="auto"/>
          <w:spacing w:val="4"/>
          <w:sz w:val="28"/>
          <w:szCs w:val="32"/>
          <w:lang w:eastAsia="zh-CN"/>
        </w:rPr>
        <w:t>所有参与加分的经历、竞赛获奖、科研创新成果以及荣誉</w:t>
      </w:r>
      <w:r>
        <w:rPr>
          <w:rFonts w:hint="eastAsia" w:ascii="Times New Roman" w:hAnsi="Times New Roman" w:eastAsia="宋体"/>
          <w:b/>
          <w:color w:val="auto"/>
          <w:spacing w:val="8"/>
          <w:sz w:val="28"/>
          <w:szCs w:val="32"/>
          <w:lang w:eastAsia="zh-CN"/>
        </w:rPr>
        <w:t>称号等取得的截止时间以当年推免工作的相关通知为准。</w:t>
      </w:r>
    </w:p>
    <w:p w14:paraId="1022B45C">
      <w:pPr>
        <w:pStyle w:val="12"/>
        <w:spacing w:line="360" w:lineRule="auto" w:before="0" w:after="80"/>
        <w:ind w:firstLineChars="200" w:firstLine="482"/>
        <w:jc w:val="both"/>
        <w:rPr>
          <w:rFonts w:hint="eastAsia"/>
          <w:color w:val="auto"/>
          <w:spacing w:val="8"/>
          <w:sz w:val="32"/>
          <w:szCs w:val="32"/>
          <w:lang w:eastAsia="zh-CN"/>
        </w:rPr>
      </w:pPr>
      <w:r>
        <w:rPr>
          <w:rFonts w:hint="eastAsia" w:ascii="Times New Roman" w:hAnsi="Times New Roman" w:eastAsia="宋体"/>
          <w:b w:val="0"/>
          <w:color w:val="auto"/>
          <w:spacing w:val="4"/>
          <w:sz w:val="24"/>
          <w:szCs w:val="32"/>
          <w:lang w:eastAsia="zh-CN"/>
        </w:rPr>
        <w:t>（</w:t>
      </w:r>
      <w:r>
        <w:rPr>
          <w:rFonts w:hint="eastAsia" w:ascii="Times New Roman" w:hAnsi="Times New Roman" w:eastAsia="宋体"/>
          <w:b w:val="0"/>
          <w:color w:val="auto"/>
          <w:spacing w:val="4"/>
          <w:sz w:val="24"/>
          <w:szCs w:val="32"/>
          <w:lang w:val="en-US" w:eastAsia="zh-CN"/>
        </w:rPr>
        <w:t>七</w:t>
      </w:r>
      <w:r>
        <w:rPr>
          <w:rFonts w:hint="eastAsia" w:ascii="Times New Roman" w:hAnsi="Times New Roman" w:eastAsia="宋体"/>
          <w:b w:val="0"/>
          <w:color w:val="auto"/>
          <w:spacing w:val="4"/>
          <w:sz w:val="24"/>
          <w:szCs w:val="32"/>
          <w:lang w:eastAsia="zh-CN"/>
        </w:rPr>
        <w:t>）</w:t>
      </w:r>
      <w:r>
        <w:rPr>
          <w:rFonts w:hint="eastAsia" w:ascii="Times New Roman" w:hAnsi="Times New Roman" w:eastAsia="宋体"/>
          <w:b w:val="0"/>
          <w:color w:val="auto"/>
          <w:spacing w:val="5"/>
          <w:sz w:val="24"/>
          <w:szCs w:val="32"/>
          <w:lang w:eastAsia="zh-CN"/>
        </w:rPr>
        <w:t>申请人与直系亲属或学历、职称、职务明显高于本人者（可出具相关证明的本校学业导师、科研团队导师、竞赛指导教师等本科人才培养指导体系内的人员除外）合作的竞赛获奖、科研创新成果等仅作为参考，不纳入本人综合评价加分体系。</w:t>
      </w:r>
    </w:p>
    <w:p w14:paraId="1E6DD86F">
      <w:pPr>
        <w:pStyle w:val="12"/>
        <w:spacing w:line="360" w:lineRule="auto" w:before="0" w:after="80"/>
        <w:ind w:firstLineChars="200" w:firstLine="482"/>
        <w:jc w:val="both"/>
        <w:rPr>
          <w:rFonts w:hint="eastAsia"/>
          <w:color w:val="auto"/>
          <w:spacing w:val="4"/>
          <w:sz w:val="32"/>
          <w:szCs w:val="32"/>
          <w:lang w:eastAsia="zh-CN"/>
        </w:rPr>
      </w:pPr>
      <w:r>
        <w:rPr>
          <w:rFonts w:hint="eastAsia" w:ascii="Times New Roman" w:hAnsi="Times New Roman" w:eastAsia="宋体"/>
          <w:b w:val="0"/>
          <w:color w:val="auto"/>
          <w:spacing w:val="4"/>
          <w:sz w:val="24"/>
          <w:szCs w:val="32"/>
          <w:lang w:eastAsia="zh-CN"/>
        </w:rPr>
        <w:t>（</w:t>
      </w:r>
      <w:r>
        <w:rPr>
          <w:rFonts w:hint="eastAsia" w:ascii="Times New Roman" w:hAnsi="Times New Roman" w:eastAsia="宋体"/>
          <w:b w:val="0"/>
          <w:color w:val="auto"/>
          <w:spacing w:val="4"/>
          <w:sz w:val="24"/>
          <w:szCs w:val="32"/>
          <w:lang w:val="en-US" w:eastAsia="zh-CN"/>
        </w:rPr>
        <w:t>八</w:t>
      </w:r>
      <w:r>
        <w:rPr>
          <w:rFonts w:hint="eastAsia" w:ascii="Times New Roman" w:hAnsi="Times New Roman" w:eastAsia="宋体"/>
          <w:b w:val="0"/>
          <w:color w:val="auto"/>
          <w:spacing w:val="4"/>
          <w:sz w:val="24"/>
          <w:szCs w:val="32"/>
          <w:lang w:eastAsia="zh-CN"/>
        </w:rPr>
        <w:t>）各项加分佐证材料审核时需提供原件和复印件，录稿通知、获奖公示、尚未检索等情况不得计算加分，发生异议时，参军入伍服兵役部分由学校武装部负责解释；参加志愿服务或到国际组织实习部分由校团委负责解释；大学生竞赛获奖部分由教务处负责解释；获得科研创新成果部分由科学与技术发展研究院负责解释；获得个人国家级或省级综合类荣誉称号部分由学生工作部（处）和团委负责解释；其他附加成绩部分由教务处负责解释。</w:t>
      </w:r>
    </w:p>
    <w:p w14:paraId="43D2F641">
      <w:pPr>
        <w:spacing w:after="80" w:line="360" w:lineRule="auto" w:before="160"/>
        <w:ind w:firstLineChars="200" w:firstLine="0"/>
        <w:jc w:val="left"/>
        <w:outlineLvl w:val="1"/>
        <w:rPr>
          <w:rFonts w:hint="eastAsia" w:ascii="黑体" w:hAnsi="黑体" w:eastAsia="黑体" w:cs="黑体"/>
          <w:b/>
          <w:bCs/>
          <w:sz w:val="32"/>
          <w:szCs w:val="32"/>
          <w14:ligatures w14:val="none"/>
        </w:rPr>
      </w:pPr>
      <w:r>
        <w:rPr>
          <w:rFonts w:hint="eastAsia" w:ascii="Times New Roman" w:hAnsi="Times New Roman" w:eastAsia="宋体" w:cs="黑体"/>
          <w:b/>
          <w:bCs/>
          <w:sz w:val="28"/>
          <w:szCs w:val="32"/>
          <w14:ligatures w14:val="none"/>
        </w:rPr>
        <w:t>八、推免工作回避制度</w:t>
      </w:r>
    </w:p>
    <w:p w14:paraId="75A931D0">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（一）回避情形</w:t>
      </w:r>
    </w:p>
    <w:p w14:paraId="76E8E92D">
      <w:pPr>
        <w:spacing w:after="80" w:line="360" w:lineRule="auto" w:before="0"/>
        <w:ind w:firstLineChars="200" w:firstLine="482"/>
        <w:jc w:val="both"/>
        <w:rPr>
          <w:rFonts w:hint="eastAsia" w:ascii="仿宋_GB2312" w:hAnsi="仿宋_GB2312" w:eastAsia="仿宋_GB2312" w:cs="仿宋_GB2312"/>
          <w:sz w:val="32"/>
          <w:szCs w:val="32"/>
          <w14:ligatures w14:val="none"/>
        </w:rPr>
      </w:pPr>
      <w:r>
        <w:rPr>
          <w:rFonts w:hint="eastAsia" w:ascii="Times New Roman" w:hAnsi="Times New Roman" w:eastAsia="宋体" w:cs="仿宋_GB2312"/>
          <w:b w:val="0"/>
          <w:sz w:val="24"/>
          <w:szCs w:val="32"/>
          <w14:ligatures w14:val="none"/>
        </w:rPr>
        <w:t>若相关人员与考生存在下述亲属关系，不得参与该考生的推免评审、考核、推荐等环节的工作。</w:t>
      </w:r>
    </w:p>
    <w:p w14:paraId="604663D9">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1.夫妻关系；</w:t>
      </w:r>
    </w:p>
    <w:p w14:paraId="07716975">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2.直系血亲关系，包括父母、子女、祖父母、外祖父母、孙子女、外孙子女等；</w:t>
      </w:r>
    </w:p>
    <w:p w14:paraId="24E75704">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3.三代以内旁系血亲关系，包括兄弟姐妹、堂兄弟姐妹、表兄弟姐妹、叔伯姑舅姨、侄子女、甥子女等；</w:t>
      </w:r>
    </w:p>
    <w:p w14:paraId="5A02000E">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4.近姻亲关系，包括配偶的父母、配偶的兄弟姐妹及其配偶、子女的配偶及子女配偶的父母、三代以内旁系血亲的配偶等。</w:t>
      </w:r>
    </w:p>
    <w:p w14:paraId="19C8FD7E">
      <w:pPr>
        <w:spacing w:after="80" w:line="360" w:lineRule="auto" w:before="0"/>
        <w:ind w:firstLineChars="200" w:firstLine="482"/>
        <w:jc w:val="both"/>
        <w:rPr>
          <w:rFonts w:hint="eastAsia" w:ascii="仿宋_GB2312" w:hAnsi="仿宋_GB2312" w:eastAsia="仿宋_GB2312" w:cs="仿宋_GB2312"/>
          <w:sz w:val="32"/>
          <w:szCs w:val="32"/>
          <w14:ligatures w14:val="none"/>
        </w:rPr>
      </w:pPr>
      <w:r>
        <w:rPr>
          <w:rFonts w:hint="eastAsia" w:ascii="Times New Roman" w:hAnsi="Times New Roman" w:eastAsia="宋体" w:cs="仿宋_GB2312"/>
          <w:b w:val="0"/>
          <w:sz w:val="24"/>
          <w:szCs w:val="32"/>
          <w14:ligatures w14:val="none"/>
        </w:rPr>
        <w:t>若相关工作人员与考生存在下列利害关系之一的，应主动申请回避，不得参与涉及该考生的推免相关工作。</w:t>
      </w:r>
    </w:p>
    <w:p w14:paraId="4EB18D89">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1.本人或其亲属与考生有经济利益关系，如存在债权债务关系、共同投资经营等情况；</w:t>
      </w:r>
    </w:p>
    <w:p w14:paraId="0C8F948B">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2.本人或其亲属与考生有过纠纷、矛盾，可能影响推免工作公正进行的；</w:t>
      </w:r>
    </w:p>
    <w:p w14:paraId="7B424ED1">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3.其他可能影响推免工作公平公正的利害关系。</w:t>
      </w:r>
    </w:p>
    <w:p w14:paraId="39D69C37">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（二）回避程序</w:t>
      </w:r>
    </w:p>
    <w:p w14:paraId="7933C038">
      <w:pPr>
        <w:spacing w:after="80" w:line="360" w:lineRule="auto" w:before="0"/>
        <w:ind w:firstLineChars="200" w:firstLine="482"/>
        <w:jc w:val="both"/>
        <w:rPr>
          <w:rFonts w:hint="eastAsia" w:ascii="仿宋_GB2312" w:hAnsi="仿宋_GB2312" w:eastAsia="仿宋_GB2312" w:cs="仿宋_GB2312"/>
          <w:sz w:val="32"/>
          <w:szCs w:val="32"/>
          <w14:ligatures w14:val="none"/>
        </w:rPr>
      </w:pPr>
      <w:r>
        <w:rPr>
          <w:rFonts w:hint="eastAsia" w:ascii="Times New Roman" w:hAnsi="Times New Roman" w:eastAsia="宋体" w:cs="仿宋_GB2312"/>
          <w:b w:val="0"/>
          <w:sz w:val="24"/>
          <w:szCs w:val="32"/>
          <w14:ligatures w14:val="none"/>
        </w:rPr>
        <w:t>1.</w:t>
      </w:r>
      <w:r>
        <w:rPr>
          <w:rFonts w:ascii="Times New Roman" w:hAnsi="Times New Roman" w:eastAsia="宋体" w:cs="仿宋_GB2312"/>
          <w:b w:val="0"/>
          <w:sz w:val="24"/>
          <w:szCs w:val="32"/>
          <w14:ligatures w14:val="none"/>
        </w:rPr>
        <w:t>相关人员发现自己存在需要回避的情形时，应当主动向学院推免工作领导小组提出回避申请，并说明理由。考生或其监护人发现相关人员存在需要回避的情形时，有权向学院推免工作小组提出回避申请，并提供相关证据。</w:t>
      </w:r>
    </w:p>
    <w:p w14:paraId="5162272B">
      <w:pPr>
        <w:spacing w:after="80" w:line="360" w:lineRule="auto" w:before="0"/>
        <w:ind w:firstLineChars="200" w:firstLine="482"/>
        <w:jc w:val="both"/>
        <w:rPr>
          <w:rFonts w:hint="eastAsia" w:ascii="仿宋_GB2312" w:hAnsi="仿宋_GB2312" w:eastAsia="仿宋_GB2312" w:cs="仿宋_GB2312"/>
          <w:sz w:val="32"/>
          <w:szCs w:val="32"/>
          <w14:ligatures w14:val="none"/>
        </w:rPr>
      </w:pPr>
      <w:r>
        <w:rPr>
          <w:rFonts w:hint="eastAsia" w:ascii="Times New Roman" w:hAnsi="Times New Roman" w:eastAsia="宋体" w:cs="仿宋_GB2312"/>
          <w:b w:val="0"/>
          <w:sz w:val="24"/>
          <w:szCs w:val="32"/>
          <w14:ligatures w14:val="none"/>
        </w:rPr>
        <w:t>2.</w:t>
      </w:r>
      <w:r>
        <w:rPr>
          <w:rFonts w:ascii="Times New Roman" w:hAnsi="Times New Roman" w:eastAsia="宋体" w:cs="仿宋_GB2312"/>
          <w:b w:val="0"/>
          <w:sz w:val="24"/>
          <w:szCs w:val="32"/>
          <w14:ligatures w14:val="none"/>
        </w:rPr>
        <w:t>学院推免工作小组收到回避申请后，应当在3个工作日内进行审查，并作出是否回避的决定。作出回避决定的，应当及时通知申请人和被申请回避的人员；作出不予回避决定的，应当向申请人说明理由。</w:t>
      </w:r>
    </w:p>
    <w:p w14:paraId="3D857C28">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3.</w:t>
      </w:r>
      <w:r>
        <w:rPr>
          <w:rFonts w:ascii="Times New Roman" w:hAnsi="Times New Roman" w:eastAsia="宋体" w:cs="仿宋_GB2312"/>
          <w:b/>
          <w:sz w:val="28"/>
          <w:szCs w:val="32"/>
          <w14:ligatures w14:val="none"/>
        </w:rPr>
        <w:t>被决定回避的人员，应当立即停止参与推免相关工作。其已参与的工作，由学院推免工作小组根据具体情况决定是否有效，并安排其他符合条件的人员接替其工作。</w:t>
      </w:r>
    </w:p>
    <w:p w14:paraId="44F8D4B6">
      <w:pPr>
        <w:spacing w:after="80" w:line="360" w:lineRule="auto" w:before="160"/>
        <w:ind w:firstLineChars="200" w:firstLine="0"/>
        <w:jc w:val="left"/>
        <w:outlineLvl w:val="1"/>
        <w:rPr>
          <w:rFonts w:hint="eastAsia" w:ascii="黑体" w:hAnsi="黑体" w:eastAsia="黑体" w:cs="黑体"/>
          <w:b/>
          <w:bCs/>
          <w:sz w:val="32"/>
          <w:szCs w:val="32"/>
          <w14:ligatures w14:val="none"/>
        </w:rPr>
      </w:pPr>
      <w:r>
        <w:rPr>
          <w:rFonts w:hint="eastAsia" w:ascii="Times New Roman" w:hAnsi="Times New Roman" w:eastAsia="宋体" w:cs="黑体"/>
          <w:b/>
          <w:bCs/>
          <w:sz w:val="28"/>
          <w:szCs w:val="32"/>
          <w14:ligatures w14:val="none"/>
        </w:rPr>
        <w:t>九、复议</w:t>
      </w:r>
    </w:p>
    <w:p w14:paraId="19051D37">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（一）已参加本学院推免遴选，但对推免成绩及最后结果持有异议的学生，可在学院拟推免名单公示期间提请学院推免工作小组复议。</w:t>
      </w:r>
    </w:p>
    <w:p w14:paraId="743E8B50">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（二）申请和复议程序：</w:t>
      </w:r>
    </w:p>
    <w:p w14:paraId="1E736F14">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1.申请人填写《河北科技大学推荐免试研究生复议申请审核表》（以下简称</w:t>
      </w:r>
      <w:r>
        <w:rPr>
          <w:rFonts w:hint="eastAsia" w:ascii="Times New Roman" w:hAnsi="Times New Roman" w:eastAsia="宋体"/>
          <w:b/>
          <w:sz w:val="28"/>
          <w:szCs w:val="32"/>
        </w:rPr>
        <w:t>《复议申请表》</w:t>
      </w:r>
      <w:r>
        <w:rPr>
          <w:rFonts w:hint="eastAsia" w:ascii="Times New Roman" w:hAnsi="Times New Roman" w:eastAsia="宋体" w:cs="仿宋_GB2312"/>
          <w:b/>
          <w:sz w:val="28"/>
          <w:szCs w:val="32"/>
          <w14:ligatures w14:val="none"/>
        </w:rPr>
        <w:t xml:space="preserve">）（一式三份），并在规定日期内上交到学院，逾期不予受理。 </w:t>
      </w:r>
    </w:p>
    <w:p w14:paraId="4D792536">
      <w:pPr>
        <w:spacing w:after="80" w:line="360" w:lineRule="auto" w:before="0"/>
        <w:ind w:firstLineChars="200" w:firstLine="482"/>
        <w:jc w:val="both"/>
        <w:rPr>
          <w:rFonts w:hint="eastAsia" w:ascii="仿宋_GB2312" w:hAnsi="仿宋_GB2312" w:eastAsia="仿宋_GB2312" w:cs="仿宋_GB2312"/>
          <w:sz w:val="32"/>
          <w:szCs w:val="32"/>
          <w14:ligatures w14:val="none"/>
        </w:rPr>
      </w:pPr>
      <w:r>
        <w:rPr>
          <w:rFonts w:hint="eastAsia" w:ascii="Times New Roman" w:hAnsi="Times New Roman" w:eastAsia="宋体" w:cs="仿宋_GB2312"/>
          <w:b w:val="0"/>
          <w:sz w:val="24"/>
          <w:szCs w:val="32"/>
          <w14:ligatures w14:val="none"/>
        </w:rPr>
        <w:t>2.学院推免工作小组按照学校</w:t>
      </w:r>
      <w:r>
        <w:rPr>
          <w:rFonts w:hint="eastAsia" w:ascii="Times New Roman" w:hAnsi="Times New Roman" w:eastAsia="宋体"/>
          <w:b w:val="0"/>
          <w:sz w:val="24"/>
          <w:szCs w:val="32"/>
        </w:rPr>
        <w:t>《推免实施办法》</w:t>
      </w:r>
      <w:r>
        <w:rPr>
          <w:rFonts w:hint="eastAsia" w:ascii="Times New Roman" w:hAnsi="Times New Roman" w:eastAsia="宋体" w:cs="仿宋_GB2312"/>
          <w:b w:val="0"/>
          <w:sz w:val="24"/>
          <w:szCs w:val="32"/>
          <w14:ligatures w14:val="none"/>
        </w:rPr>
        <w:t xml:space="preserve">和学院《推免细则》的规定，审核申请人所反映的情况是否属实，必要时可重新对申请人进行评价，复议过程要详细记录在复议表中。 </w:t>
      </w:r>
    </w:p>
    <w:p w14:paraId="3B956561">
      <w:pPr>
        <w:spacing w:after="80" w:line="360" w:lineRule="auto" w:before="0"/>
        <w:ind w:firstLineChars="200" w:firstLine="482"/>
        <w:jc w:val="both"/>
        <w:rPr>
          <w:rFonts w:hint="eastAsia" w:ascii="仿宋_GB2312" w:hAnsi="仿宋_GB2312" w:eastAsia="仿宋_GB2312" w:cs="仿宋_GB2312"/>
          <w:sz w:val="32"/>
          <w:szCs w:val="32"/>
          <w14:ligatures w14:val="none"/>
        </w:rPr>
      </w:pPr>
      <w:r>
        <w:rPr>
          <w:rFonts w:hint="eastAsia" w:ascii="Times New Roman" w:hAnsi="Times New Roman" w:eastAsia="宋体" w:cs="仿宋_GB2312"/>
          <w:b w:val="0"/>
          <w:sz w:val="24"/>
          <w:szCs w:val="32"/>
          <w14:ligatures w14:val="none"/>
        </w:rPr>
        <w:t xml:space="preserve">3.经复议，学院推免工作小组做出复议结论，填写在复议表的“复议结论”一栏中，组长签字、学院盖章方有效。复议结果应在学院将拟推免名单报学校推免工作领导小组之前告知申请人。 </w:t>
      </w:r>
    </w:p>
    <w:p w14:paraId="6D5F0F21">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4.学院将复议表汇总后，连同拟推免名单在规定时间内报学校推免生工作领导小组。</w:t>
      </w:r>
    </w:p>
    <w:p w14:paraId="72D45D78">
      <w:pPr>
        <w:spacing w:after="80" w:line="360" w:lineRule="auto" w:before="160"/>
        <w:ind w:firstLineChars="200" w:firstLine="0"/>
        <w:jc w:val="left"/>
        <w:outlineLvl w:val="1"/>
        <w:rPr>
          <w:rFonts w:hint="eastAsia" w:ascii="黑体" w:hAnsi="黑体" w:eastAsia="黑体" w:cs="黑体"/>
          <w:b/>
          <w:bCs/>
          <w:sz w:val="32"/>
          <w:szCs w:val="32"/>
          <w14:ligatures w14:val="none"/>
        </w:rPr>
      </w:pPr>
      <w:r>
        <w:rPr>
          <w:rFonts w:hint="eastAsia" w:ascii="Times New Roman" w:hAnsi="Times New Roman" w:eastAsia="宋体" w:cs="黑体"/>
          <w:b/>
          <w:bCs/>
          <w:sz w:val="28"/>
          <w:szCs w:val="32"/>
          <w14:ligatures w14:val="none"/>
        </w:rPr>
        <w:t>十、管理与监督</w:t>
      </w:r>
    </w:p>
    <w:p w14:paraId="5812C7CB">
      <w:pPr>
        <w:spacing w:after="80" w:line="360" w:lineRule="auto" w:before="0"/>
        <w:ind w:firstLineChars="200" w:firstLine="482"/>
        <w:jc w:val="both"/>
        <w:rPr>
          <w:rFonts w:hint="eastAsia" w:ascii="仿宋_GB2312" w:hAnsi="仿宋_GB2312" w:eastAsia="仿宋_GB2312" w:cs="仿宋_GB2312"/>
          <w:sz w:val="32"/>
          <w:szCs w:val="32"/>
          <w14:ligatures w14:val="none"/>
        </w:rPr>
      </w:pPr>
      <w:r>
        <w:rPr>
          <w:rFonts w:hint="eastAsia" w:ascii="Times New Roman" w:hAnsi="Times New Roman" w:eastAsia="宋体" w:cs="仿宋_GB2312"/>
          <w:b w:val="0"/>
          <w:sz w:val="24"/>
          <w:szCs w:val="32"/>
          <w14:ligatures w14:val="none"/>
        </w:rPr>
        <w:t>学院认真执行国家推免生工作有关政策规定和学校推免生工作规定，严格掌握推荐原则、条件和程序，切实保证推免生质量，维护推免生工作的权威性和严肃性。若在推免生工作中出现违规行为，情节严重者，将追究相关人员责任。</w:t>
      </w:r>
    </w:p>
    <w:p w14:paraId="638792AE">
      <w:pPr>
        <w:spacing w:after="80" w:line="360" w:lineRule="auto" w:before="160"/>
        <w:ind w:firstLineChars="200" w:firstLine="0"/>
        <w:jc w:val="left"/>
        <w:outlineLvl w:val="1"/>
        <w:rPr>
          <w:rFonts w:hint="eastAsia" w:ascii="黑体" w:hAnsi="黑体" w:eastAsia="黑体" w:cs="黑体"/>
          <w:b/>
          <w:bCs/>
          <w:sz w:val="32"/>
          <w:szCs w:val="32"/>
          <w14:ligatures w14:val="none"/>
        </w:rPr>
      </w:pPr>
      <w:r>
        <w:rPr>
          <w:rFonts w:hint="eastAsia" w:ascii="Times New Roman" w:hAnsi="Times New Roman" w:eastAsia="宋体" w:cs="黑体"/>
          <w:b/>
          <w:bCs/>
          <w:sz w:val="28"/>
          <w:szCs w:val="32"/>
          <w14:ligatures w14:val="none"/>
        </w:rPr>
        <w:t>十一、附则</w:t>
      </w:r>
    </w:p>
    <w:p w14:paraId="6313188B">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（一）学校相关文件发生调整的，以学校相关文件为准。</w:t>
      </w:r>
    </w:p>
    <w:p w14:paraId="6EA16595">
      <w:pPr>
        <w:spacing w:after="80" w:line="360" w:lineRule="auto" w:before="160"/>
        <w:ind w:firstLineChars="200" w:firstLine="0"/>
        <w:jc w:val="left"/>
        <w:rPr>
          <w:rFonts w:hint="eastAsia" w:ascii="仿宋_GB2312" w:hAnsi="仿宋_GB2312" w:eastAsia="仿宋_GB2312" w:cs="仿宋_GB2312"/>
          <w:sz w:val="32"/>
          <w:szCs w:val="32"/>
          <w14:ligatures w14:val="none"/>
        </w:rPr>
      </w:pPr>
      <w:r>
        <w:rPr>
          <w:rFonts w:hint="eastAsia" w:ascii="Times New Roman" w:hAnsi="Times New Roman" w:eastAsia="宋体" w:cs="仿宋_GB2312"/>
          <w:b/>
          <w:sz w:val="28"/>
          <w:szCs w:val="32"/>
          <w14:ligatures w14:val="none"/>
        </w:rPr>
        <w:t>（二）本细则自发布之日起开始实施，由河北科技大学纺织服装学院推免工作小组负责解释。</w:t>
      </w:r>
    </w:p>
    <w:p w14:paraId="0CA40487">
      <w:pPr>
        <w:adjustRightInd w:val="0"/>
        <w:snapToGrid w:val="0"/>
        <w:spacing w:after="0" w:line="240" w:lineRule="exact"/>
        <w:jc w:val="both"/>
        <w:rPr>
          <w:rFonts w:hint="eastAsia" w:ascii="仿宋_GB2312" w:hAnsi="宋体" w:eastAsia="仿宋_GB2312" w:cs="仿宋_GB2312"/>
          <w:sz w:val="21"/>
          <w:szCs w:val="21"/>
          <w14:ligatures w14:val="none"/>
        </w:rPr>
        <w:sectPr>
          <w:footerReference r:id="rId5" w:type="default"/>
          <w:pgSz w:w="11906" w:h="16838"/>
          <w:pgMar w:top="1440" w:right="1803" w:bottom="1440" w:left="1803" w:header="851" w:footer="992" w:gutter="0"/>
          <w:cols w:space="0" w:num="1"/>
          <w:docGrid w:type="lines" w:linePitch="319" w:charSpace="0"/>
        </w:sectPr>
      </w:pPr>
    </w:p>
    <w:p w14:paraId="32BB9977">
      <w:pPr>
        <w:spacing w:line="360" w:lineRule="auto" w:before="0" w:after="80"/>
        <w:ind w:firstLine="482"/>
        <w:jc w:val="both"/>
        <w:outlineLvl w:val="1"/>
        <w:rPr>
          <w:rFonts w:hint="eastAsia" w:ascii="方正小标宋简体" w:hAnsi="等线" w:eastAsia="方正小标宋简体" w:cs="Times New Roman"/>
          <w:sz w:val="36"/>
          <w:szCs w:val="36"/>
        </w:rPr>
      </w:pPr>
      <w:r>
        <w:rPr>
          <w:rFonts w:hint="eastAsia" w:ascii="Times New Roman" w:hAnsi="Times New Roman" w:eastAsia="宋体" w:cs="Times New Roman"/>
          <w:b w:val="0"/>
          <w:sz w:val="24"/>
          <w:szCs w:val="36"/>
        </w:rPr>
        <w:t>附件1：</w:t>
      </w:r>
    </w:p>
    <w:p w14:paraId="61FB37C8">
      <w:pPr>
        <w:spacing w:line="360" w:lineRule="auto" w:before="0" w:after="80"/>
        <w:ind w:firstLine="482"/>
        <w:jc w:val="both"/>
        <w:rPr>
          <w:rFonts w:hint="eastAsia" w:ascii="方正小标宋简体" w:hAnsi="等线" w:eastAsia="方正小标宋简体" w:cs="Times New Roman"/>
          <w:sz w:val="36"/>
          <w:szCs w:val="36"/>
        </w:rPr>
      </w:pPr>
      <w:r>
        <w:rPr>
          <w:rFonts w:hint="eastAsia" w:ascii="Times New Roman" w:hAnsi="Times New Roman" w:eastAsia="宋体" w:cs="Times New Roman"/>
          <w:b w:val="0"/>
          <w:sz w:val="24"/>
          <w:szCs w:val="36"/>
        </w:rPr>
        <w:t>河北科技大学纺织服装学院本科生学科竞赛（一类竞赛）指导目录（2025年）</w:t>
      </w:r>
    </w:p>
    <w:tbl>
      <w:tblPr>
        <w:tblStyle w:val="17"/>
        <w:tblW w:w="149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5516"/>
        <w:gridCol w:w="8670"/>
      </w:tblGrid>
      <w:tr w14:paraId="43B07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21" w:type="dxa"/>
            <w:gridSpan w:val="3"/>
            <w:tcBorders>
              <w:top w:val="single" w:color="auto" w:sz="4" w:space="0"/>
              <w:left w:val="single" w:color="auto" w:sz="4" w:space="0"/>
              <w:bottom w:val="single" w:color="auto" w:sz="4" w:space="0"/>
              <w:right w:val="single" w:color="auto" w:sz="4" w:space="0"/>
            </w:tcBorders>
            <w:vAlign w:val="center"/>
          </w:tcPr>
          <w:p w14:paraId="7D97CD6B">
            <w:pPr>
              <w:widowControl/>
              <w:spacing w:line="276" w:lineRule="auto" w:before="0" w:after="0"/>
              <w:ind w:firstLine="0"/>
              <w:jc w:val="center"/>
              <w:textAlignment w:val="center"/>
              <w:rPr>
                <w:rFonts w:ascii="Times New Roman" w:hAnsi="Times New Roman" w:eastAsia="微软雅黑" w:cs="Times New Roman"/>
                <w:sz w:val="32"/>
                <w:szCs w:val="32"/>
              </w:rPr>
            </w:pPr>
            <w:r>
              <w:rPr>
                <w:rFonts w:hint="eastAsia" w:ascii="Times New Roman" w:hAnsi="Times New Roman" w:eastAsia="宋体" w:cs="黑体"/>
                <w:b w:val="0"/>
                <w:kern w:val="0"/>
                <w:sz w:val="21"/>
                <w:szCs w:val="28"/>
              </w:rPr>
              <w:t>一类竞赛（A级）：1个竞赛</w:t>
            </w:r>
          </w:p>
        </w:tc>
      </w:tr>
      <w:tr w14:paraId="44068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63363EC5">
            <w:pPr>
              <w:widowControl/>
              <w:spacing w:line="276" w:lineRule="auto" w:before="0" w:after="0"/>
              <w:ind w:firstLine="0"/>
              <w:jc w:val="center"/>
              <w:textAlignment w:val="center"/>
              <w:rPr>
                <w:rFonts w:hint="eastAsia" w:ascii="仿宋_GB2312" w:hAnsi="等线" w:eastAsia="仿宋_GB2312" w:cs="仿宋_GB2312"/>
                <w:b/>
                <w:bCs/>
                <w:sz w:val="24"/>
              </w:rPr>
            </w:pPr>
            <w:r>
              <w:rPr>
                <w:rFonts w:hint="eastAsia" w:ascii="Times New Roman" w:hAnsi="Times New Roman" w:eastAsia="宋体" w:cs="仿宋_GB2312"/>
                <w:b w:val="0"/>
                <w:bCs/>
                <w:kern w:val="0"/>
                <w:sz w:val="21"/>
              </w:rPr>
              <w:t>序号</w:t>
            </w:r>
          </w:p>
        </w:tc>
        <w:tc>
          <w:tcPr>
            <w:tcW w:w="5516" w:type="dxa"/>
            <w:tcBorders>
              <w:top w:val="single" w:color="auto" w:sz="4" w:space="0"/>
              <w:left w:val="single" w:color="auto" w:sz="4" w:space="0"/>
              <w:bottom w:val="single" w:color="auto" w:sz="4" w:space="0"/>
              <w:right w:val="single" w:color="auto" w:sz="4" w:space="0"/>
            </w:tcBorders>
            <w:vAlign w:val="center"/>
          </w:tcPr>
          <w:p w14:paraId="331306C0">
            <w:pPr>
              <w:widowControl/>
              <w:spacing w:line="276" w:lineRule="auto" w:before="0" w:after="0"/>
              <w:ind w:firstLine="0"/>
              <w:jc w:val="center"/>
              <w:textAlignment w:val="center"/>
              <w:rPr>
                <w:rFonts w:hint="eastAsia" w:ascii="仿宋_GB2312" w:hAnsi="等线" w:eastAsia="仿宋_GB2312" w:cs="仿宋_GB2312"/>
                <w:b/>
                <w:bCs/>
                <w:sz w:val="24"/>
              </w:rPr>
            </w:pPr>
            <w:r>
              <w:rPr>
                <w:rFonts w:hint="eastAsia" w:ascii="Times New Roman" w:hAnsi="Times New Roman" w:eastAsia="宋体" w:cs="仿宋_GB2312"/>
                <w:b w:val="0"/>
                <w:bCs/>
                <w:kern w:val="0"/>
                <w:sz w:val="21"/>
              </w:rPr>
              <w:t>竞赛名称</w:t>
            </w:r>
          </w:p>
        </w:tc>
        <w:tc>
          <w:tcPr>
            <w:tcW w:w="8670" w:type="dxa"/>
            <w:tcBorders>
              <w:top w:val="single" w:color="auto" w:sz="4" w:space="0"/>
              <w:left w:val="single" w:color="auto" w:sz="4" w:space="0"/>
              <w:bottom w:val="single" w:color="auto" w:sz="4" w:space="0"/>
              <w:right w:val="single" w:color="auto" w:sz="4" w:space="0"/>
            </w:tcBorders>
            <w:vAlign w:val="center"/>
          </w:tcPr>
          <w:p w14:paraId="7BF6BEE6">
            <w:pPr>
              <w:widowControl/>
              <w:spacing w:line="276" w:lineRule="auto" w:before="0" w:after="0"/>
              <w:ind w:firstLine="0"/>
              <w:jc w:val="center"/>
              <w:textAlignment w:val="center"/>
              <w:rPr>
                <w:rFonts w:hint="eastAsia" w:ascii="仿宋_GB2312" w:hAnsi="等线" w:eastAsia="仿宋_GB2312" w:cs="仿宋_GB2312"/>
                <w:b/>
                <w:bCs/>
                <w:sz w:val="24"/>
              </w:rPr>
            </w:pPr>
            <w:r>
              <w:rPr>
                <w:rFonts w:hint="eastAsia" w:ascii="Times New Roman" w:hAnsi="Times New Roman" w:eastAsia="宋体" w:cs="仿宋_GB2312"/>
                <w:b w:val="0"/>
                <w:bCs/>
                <w:kern w:val="0"/>
                <w:sz w:val="21"/>
              </w:rPr>
              <w:t>主办方</w:t>
            </w:r>
          </w:p>
        </w:tc>
      </w:tr>
      <w:tr w14:paraId="0BC29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246103">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1</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AA8F8D">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中国国际大学生创新大赛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51D770">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教育部、中央统战部、中央网信办、国家发展改革委、工业和信息化部、人力资源社会保障部等</w:t>
            </w:r>
          </w:p>
        </w:tc>
      </w:tr>
      <w:tr w14:paraId="41ECC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21"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C95C75">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黑体"/>
                <w:b w:val="0"/>
                <w:kern w:val="0"/>
                <w:sz w:val="21"/>
                <w:szCs w:val="28"/>
              </w:rPr>
              <w:t>一类竞赛（B级）：2个竞赛</w:t>
            </w:r>
          </w:p>
        </w:tc>
      </w:tr>
      <w:tr w14:paraId="19A1A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420853">
            <w:pPr>
              <w:widowControl/>
              <w:spacing w:line="276" w:lineRule="auto" w:before="0" w:after="0"/>
              <w:ind w:firstLine="0"/>
              <w:jc w:val="center"/>
              <w:textAlignment w:val="center"/>
              <w:rPr>
                <w:rFonts w:hint="eastAsia" w:ascii="仿宋_GB2312" w:hAnsi="等线" w:eastAsia="仿宋_GB2312" w:cs="仿宋_GB2312"/>
                <w:b/>
                <w:bCs/>
                <w:sz w:val="24"/>
              </w:rPr>
            </w:pPr>
            <w:r>
              <w:rPr>
                <w:rFonts w:hint="eastAsia" w:ascii="Times New Roman" w:hAnsi="Times New Roman" w:eastAsia="宋体" w:cs="仿宋_GB2312"/>
                <w:b w:val="0"/>
                <w:bCs/>
                <w:kern w:val="0"/>
                <w:sz w:val="21"/>
              </w:rPr>
              <w:t>序号</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462C13">
            <w:pPr>
              <w:widowControl/>
              <w:spacing w:line="276" w:lineRule="auto" w:before="0" w:after="0"/>
              <w:ind w:firstLine="0"/>
              <w:jc w:val="center"/>
              <w:textAlignment w:val="center"/>
              <w:rPr>
                <w:rFonts w:hint="eastAsia" w:ascii="仿宋_GB2312" w:hAnsi="等线" w:eastAsia="仿宋_GB2312" w:cs="仿宋_GB2312"/>
                <w:b/>
                <w:bCs/>
                <w:sz w:val="24"/>
              </w:rPr>
            </w:pPr>
            <w:r>
              <w:rPr>
                <w:rFonts w:hint="eastAsia" w:ascii="Times New Roman" w:hAnsi="Times New Roman" w:eastAsia="宋体" w:cs="仿宋_GB2312"/>
                <w:b w:val="0"/>
                <w:bCs/>
                <w:kern w:val="0"/>
                <w:sz w:val="21"/>
              </w:rPr>
              <w:t>竞赛名称</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15992A">
            <w:pPr>
              <w:widowControl/>
              <w:spacing w:line="276" w:lineRule="auto" w:before="0" w:after="0"/>
              <w:ind w:firstLine="0"/>
              <w:jc w:val="center"/>
              <w:textAlignment w:val="center"/>
              <w:rPr>
                <w:rFonts w:hint="eastAsia" w:ascii="仿宋_GB2312" w:hAnsi="等线" w:eastAsia="仿宋_GB2312" w:cs="仿宋_GB2312"/>
                <w:b/>
                <w:bCs/>
                <w:sz w:val="24"/>
              </w:rPr>
            </w:pPr>
            <w:r>
              <w:rPr>
                <w:rFonts w:hint="eastAsia" w:ascii="Times New Roman" w:hAnsi="Times New Roman" w:eastAsia="宋体" w:cs="仿宋_GB2312"/>
                <w:b w:val="0"/>
                <w:bCs/>
                <w:kern w:val="0"/>
                <w:sz w:val="21"/>
              </w:rPr>
              <w:t>主办方</w:t>
            </w:r>
          </w:p>
        </w:tc>
      </w:tr>
      <w:tr w14:paraId="4FDA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67E58A">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1</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DDDAEA">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“挑战杯”全国大学生课外学术科技作品竞赛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241F8B">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共青团中央、中国科协、教育部、中国社会科学院、全国学联</w:t>
            </w:r>
          </w:p>
        </w:tc>
      </w:tr>
      <w:tr w14:paraId="21D96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494C52">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2</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019B23">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“挑战杯” 中国大学生创业计划大赛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A97425">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共青团中央、教育部、人社部、中国科协、全国学联</w:t>
            </w:r>
          </w:p>
        </w:tc>
      </w:tr>
      <w:tr w14:paraId="1081D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21" w:type="dxa"/>
            <w:gridSpan w:val="3"/>
            <w:tcBorders>
              <w:top w:val="single" w:color="auto" w:sz="4" w:space="0"/>
              <w:left w:val="single" w:color="auto" w:sz="4" w:space="0"/>
              <w:bottom w:val="single" w:color="auto" w:sz="4" w:space="0"/>
              <w:right w:val="single" w:color="auto" w:sz="4" w:space="0"/>
            </w:tcBorders>
            <w:vAlign w:val="center"/>
          </w:tcPr>
          <w:p w14:paraId="2D722F00">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黑体"/>
                <w:b w:val="0"/>
                <w:kern w:val="0"/>
                <w:sz w:val="21"/>
                <w:szCs w:val="28"/>
              </w:rPr>
              <w:t>一类竞赛（C级）：15个竞赛</w:t>
            </w:r>
          </w:p>
        </w:tc>
      </w:tr>
      <w:tr w14:paraId="4813F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5F99519E">
            <w:pPr>
              <w:widowControl/>
              <w:spacing w:line="276" w:lineRule="auto" w:before="0" w:after="0"/>
              <w:ind w:firstLine="0"/>
              <w:jc w:val="center"/>
              <w:textAlignment w:val="center"/>
              <w:rPr>
                <w:rFonts w:hint="eastAsia" w:ascii="仿宋_GB2312" w:hAnsi="等线" w:eastAsia="仿宋_GB2312" w:cs="仿宋_GB2312"/>
                <w:b/>
                <w:bCs/>
                <w:sz w:val="24"/>
              </w:rPr>
            </w:pPr>
            <w:r>
              <w:rPr>
                <w:rFonts w:hint="eastAsia" w:ascii="Times New Roman" w:hAnsi="Times New Roman" w:eastAsia="宋体" w:cs="仿宋_GB2312"/>
                <w:b w:val="0"/>
                <w:bCs/>
                <w:kern w:val="0"/>
                <w:sz w:val="21"/>
              </w:rPr>
              <w:t>序号</w:t>
            </w:r>
          </w:p>
        </w:tc>
        <w:tc>
          <w:tcPr>
            <w:tcW w:w="5516" w:type="dxa"/>
            <w:tcBorders>
              <w:top w:val="single" w:color="auto" w:sz="4" w:space="0"/>
              <w:left w:val="single" w:color="auto" w:sz="4" w:space="0"/>
              <w:bottom w:val="single" w:color="auto" w:sz="4" w:space="0"/>
              <w:right w:val="single" w:color="auto" w:sz="4" w:space="0"/>
            </w:tcBorders>
            <w:vAlign w:val="center"/>
          </w:tcPr>
          <w:p w14:paraId="17DD03C0">
            <w:pPr>
              <w:widowControl/>
              <w:spacing w:line="276" w:lineRule="auto" w:before="0" w:after="0"/>
              <w:ind w:firstLine="0"/>
              <w:jc w:val="center"/>
              <w:textAlignment w:val="center"/>
              <w:rPr>
                <w:rFonts w:hint="eastAsia" w:ascii="仿宋_GB2312" w:hAnsi="等线" w:eastAsia="仿宋_GB2312" w:cs="仿宋_GB2312"/>
                <w:b/>
                <w:bCs/>
                <w:sz w:val="24"/>
              </w:rPr>
            </w:pPr>
            <w:r>
              <w:rPr>
                <w:rFonts w:hint="eastAsia" w:ascii="Times New Roman" w:hAnsi="Times New Roman" w:eastAsia="宋体" w:cs="仿宋_GB2312"/>
                <w:b w:val="0"/>
                <w:bCs/>
                <w:kern w:val="0"/>
                <w:sz w:val="21"/>
              </w:rPr>
              <w:t>竞赛名称</w:t>
            </w:r>
          </w:p>
        </w:tc>
        <w:tc>
          <w:tcPr>
            <w:tcW w:w="8670" w:type="dxa"/>
            <w:tcBorders>
              <w:top w:val="single" w:color="auto" w:sz="4" w:space="0"/>
              <w:left w:val="single" w:color="auto" w:sz="4" w:space="0"/>
              <w:bottom w:val="single" w:color="auto" w:sz="4" w:space="0"/>
              <w:right w:val="single" w:color="auto" w:sz="4" w:space="0"/>
            </w:tcBorders>
            <w:vAlign w:val="center"/>
          </w:tcPr>
          <w:p w14:paraId="14E59F11">
            <w:pPr>
              <w:widowControl/>
              <w:spacing w:line="276" w:lineRule="auto" w:before="0" w:after="0"/>
              <w:ind w:firstLine="0"/>
              <w:jc w:val="center"/>
              <w:textAlignment w:val="center"/>
              <w:rPr>
                <w:rFonts w:hint="eastAsia" w:ascii="仿宋_GB2312" w:hAnsi="等线" w:eastAsia="仿宋_GB2312" w:cs="仿宋_GB2312"/>
                <w:b/>
                <w:bCs/>
                <w:sz w:val="24"/>
              </w:rPr>
            </w:pPr>
            <w:r>
              <w:rPr>
                <w:rFonts w:hint="eastAsia" w:ascii="Times New Roman" w:hAnsi="Times New Roman" w:eastAsia="宋体" w:cs="仿宋_GB2312"/>
                <w:b w:val="0"/>
                <w:bCs/>
                <w:kern w:val="0"/>
                <w:sz w:val="21"/>
              </w:rPr>
              <w:t>主办方</w:t>
            </w:r>
          </w:p>
        </w:tc>
      </w:tr>
      <w:tr w14:paraId="0C50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000000" w:sz="4" w:space="0"/>
            </w:tcBorders>
            <w:shd w:val="clear" w:color="auto" w:fill="FFFFFF" w:themeFill="background1"/>
            <w:vAlign w:val="center"/>
          </w:tcPr>
          <w:p w14:paraId="414982C4">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1</w:t>
            </w:r>
          </w:p>
        </w:tc>
        <w:tc>
          <w:tcPr>
            <w:tcW w:w="5516" w:type="dxa"/>
            <w:tcBorders>
              <w:top w:val="single" w:color="auto" w:sz="4" w:space="0"/>
              <w:left w:val="single" w:color="000000" w:sz="4" w:space="0"/>
              <w:bottom w:val="single" w:color="auto" w:sz="4" w:space="0"/>
              <w:right w:val="single" w:color="000000" w:sz="4" w:space="0"/>
            </w:tcBorders>
            <w:shd w:val="clear" w:color="auto" w:fill="FFFFFF" w:themeFill="background1"/>
            <w:vAlign w:val="center"/>
          </w:tcPr>
          <w:p w14:paraId="3C2A64E2">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全国大学生数学建模竞赛</w:t>
            </w:r>
          </w:p>
        </w:tc>
        <w:tc>
          <w:tcPr>
            <w:tcW w:w="8670"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416CF71C">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教育部、财政部资助，教育部高等教育司、中国工业与应用数学学会主办</w:t>
            </w:r>
          </w:p>
        </w:tc>
      </w:tr>
      <w:tr w14:paraId="33D65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000000" w:sz="4" w:space="0"/>
            </w:tcBorders>
            <w:shd w:val="clear" w:color="auto" w:fill="FFFFFF" w:themeFill="background1"/>
            <w:vAlign w:val="center"/>
          </w:tcPr>
          <w:p w14:paraId="139BDC7F">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2</w:t>
            </w:r>
          </w:p>
        </w:tc>
        <w:tc>
          <w:tcPr>
            <w:tcW w:w="5516" w:type="dxa"/>
            <w:tcBorders>
              <w:top w:val="single" w:color="auto" w:sz="4" w:space="0"/>
              <w:left w:val="single" w:color="000000" w:sz="4" w:space="0"/>
              <w:bottom w:val="single" w:color="auto" w:sz="4" w:space="0"/>
              <w:right w:val="single" w:color="000000" w:sz="4" w:space="0"/>
            </w:tcBorders>
            <w:shd w:val="clear" w:color="auto" w:fill="FFFFFF" w:themeFill="background1"/>
            <w:vAlign w:val="center"/>
          </w:tcPr>
          <w:p w14:paraId="5D66A6F0">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全国大学生电子设计竞赛</w:t>
            </w:r>
          </w:p>
        </w:tc>
        <w:tc>
          <w:tcPr>
            <w:tcW w:w="8670"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461F24DF">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教育部、财政部资助，教育部高等教育司、工信部人事教育司主办</w:t>
            </w:r>
          </w:p>
        </w:tc>
      </w:tr>
      <w:tr w14:paraId="0FDF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40D957D8">
            <w:pPr>
              <w:widowControl/>
              <w:spacing w:line="276" w:lineRule="auto" w:before="0" w:after="0"/>
              <w:ind w:firstLine="0"/>
              <w:jc w:val="center"/>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3</w:t>
            </w:r>
          </w:p>
        </w:tc>
        <w:tc>
          <w:tcPr>
            <w:tcW w:w="5516" w:type="dxa"/>
            <w:tcBorders>
              <w:top w:val="single" w:color="auto" w:sz="4" w:space="0"/>
              <w:left w:val="single" w:color="auto" w:sz="4" w:space="0"/>
              <w:bottom w:val="single" w:color="auto" w:sz="4" w:space="0"/>
              <w:right w:val="single" w:color="auto" w:sz="4" w:space="0"/>
            </w:tcBorders>
            <w:vAlign w:val="center"/>
          </w:tcPr>
          <w:p w14:paraId="6D0BBE8D">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全国大学生广告艺术大赛</w:t>
            </w:r>
          </w:p>
        </w:tc>
        <w:tc>
          <w:tcPr>
            <w:tcW w:w="8670" w:type="dxa"/>
            <w:tcBorders>
              <w:top w:val="single" w:color="auto" w:sz="4" w:space="0"/>
              <w:left w:val="single" w:color="auto" w:sz="4" w:space="0"/>
              <w:bottom w:val="single" w:color="auto" w:sz="4" w:space="0"/>
              <w:right w:val="single" w:color="auto" w:sz="4" w:space="0"/>
            </w:tcBorders>
            <w:vAlign w:val="center"/>
          </w:tcPr>
          <w:p w14:paraId="769A1331">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教育部、财政部资助，教育部、全国大学生广告艺术大赛组委会主办</w:t>
            </w:r>
          </w:p>
        </w:tc>
      </w:tr>
      <w:tr w14:paraId="062F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0B2BED">
            <w:pPr>
              <w:widowControl/>
              <w:spacing w:line="276" w:lineRule="auto" w:before="0" w:after="0"/>
              <w:ind w:firstLine="0"/>
              <w:jc w:val="center"/>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4</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A0DBBF">
            <w:pPr>
              <w:widowControl/>
              <w:spacing w:line="276" w:lineRule="auto" w:before="0" w:after="0"/>
              <w:ind w:firstLine="0"/>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全国大学生电子商务“创新、创意及创业”挑战赛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1AEE27">
            <w:pPr>
              <w:widowControl/>
              <w:spacing w:line="276" w:lineRule="auto" w:before="0" w:after="0"/>
              <w:ind w:firstLine="0"/>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教育部、财政部资助，教育部高校电商类专业教学指导委员会主办</w:t>
            </w:r>
          </w:p>
        </w:tc>
      </w:tr>
      <w:tr w14:paraId="70A1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681E92">
            <w:pPr>
              <w:widowControl/>
              <w:spacing w:line="276" w:lineRule="auto" w:before="0" w:after="0"/>
              <w:ind w:firstLine="0"/>
              <w:jc w:val="center"/>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5</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69BC75">
            <w:pPr>
              <w:widowControl/>
              <w:spacing w:line="276" w:lineRule="auto" w:before="0" w:after="0"/>
              <w:ind w:firstLine="0"/>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中国大学生工程实践与创新能力大赛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6F79D2">
            <w:pPr>
              <w:widowControl/>
              <w:spacing w:line="276" w:lineRule="auto" w:before="0" w:after="0"/>
              <w:ind w:firstLine="0"/>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教育部、财政部资助，教育部高等教育司主办</w:t>
            </w:r>
          </w:p>
        </w:tc>
      </w:tr>
      <w:tr w14:paraId="5196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13729C">
            <w:pPr>
              <w:widowControl/>
              <w:spacing w:line="276" w:lineRule="auto" w:before="0" w:after="0"/>
              <w:ind w:firstLine="0"/>
              <w:jc w:val="center"/>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6</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20C52E">
            <w:pPr>
              <w:widowControl/>
              <w:spacing w:line="276" w:lineRule="auto" w:before="0" w:after="0"/>
              <w:ind w:firstLine="0"/>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全国大学生创新创业训练计划年会展示</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394EF4">
            <w:pPr>
              <w:widowControl/>
              <w:spacing w:line="276" w:lineRule="auto" w:before="0" w:after="0"/>
              <w:ind w:firstLine="0"/>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教育部高等教育司</w:t>
            </w:r>
          </w:p>
        </w:tc>
      </w:tr>
      <w:tr w14:paraId="647A0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8ECC75">
            <w:pPr>
              <w:widowControl/>
              <w:spacing w:line="276" w:lineRule="auto" w:before="0" w:after="0"/>
              <w:ind w:firstLine="0"/>
              <w:jc w:val="center"/>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7</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466FBB">
            <w:pPr>
              <w:widowControl/>
              <w:spacing w:line="276" w:lineRule="auto" w:before="0" w:after="0"/>
              <w:ind w:firstLine="0"/>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全国大学生机器人大赛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3940DC">
            <w:pPr>
              <w:widowControl/>
              <w:spacing w:line="276" w:lineRule="auto" w:before="0" w:after="0"/>
              <w:ind w:firstLine="0"/>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共青团中央、全国学联</w:t>
            </w:r>
          </w:p>
        </w:tc>
      </w:tr>
      <w:tr w14:paraId="4C46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A95BC8">
            <w:pPr>
              <w:widowControl/>
              <w:spacing w:line="276" w:lineRule="auto" w:before="0" w:after="0"/>
              <w:ind w:firstLine="0"/>
              <w:jc w:val="center"/>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8</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32CF97">
            <w:pPr>
              <w:widowControl/>
              <w:spacing w:line="276" w:lineRule="auto" w:before="0" w:after="0"/>
              <w:ind w:firstLine="0"/>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“西门子杯”中国智能制造挑战赛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5295B9">
            <w:pPr>
              <w:widowControl/>
              <w:spacing w:line="276" w:lineRule="auto" w:before="0" w:after="0"/>
              <w:ind w:firstLine="0"/>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教育部国际合作与交流司</w:t>
            </w:r>
          </w:p>
        </w:tc>
      </w:tr>
      <w:tr w14:paraId="439DD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47C4FA9F">
            <w:pPr>
              <w:widowControl/>
              <w:spacing w:line="276" w:lineRule="auto" w:before="0" w:after="0"/>
              <w:ind w:firstLine="0"/>
              <w:jc w:val="center"/>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9</w:t>
            </w:r>
          </w:p>
        </w:tc>
        <w:tc>
          <w:tcPr>
            <w:tcW w:w="5516" w:type="dxa"/>
            <w:tcBorders>
              <w:top w:val="single" w:color="auto" w:sz="4" w:space="0"/>
              <w:left w:val="single" w:color="auto" w:sz="4" w:space="0"/>
              <w:bottom w:val="single" w:color="auto" w:sz="4" w:space="0"/>
              <w:right w:val="single" w:color="auto" w:sz="4" w:space="0"/>
            </w:tcBorders>
            <w:vAlign w:val="center"/>
          </w:tcPr>
          <w:p w14:paraId="6ACF6F30">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中美青年创客大赛</w:t>
            </w:r>
          </w:p>
        </w:tc>
        <w:tc>
          <w:tcPr>
            <w:tcW w:w="8670" w:type="dxa"/>
            <w:tcBorders>
              <w:top w:val="single" w:color="auto" w:sz="4" w:space="0"/>
              <w:left w:val="single" w:color="auto" w:sz="4" w:space="0"/>
              <w:bottom w:val="single" w:color="auto" w:sz="4" w:space="0"/>
              <w:right w:val="single" w:color="auto" w:sz="4" w:space="0"/>
            </w:tcBorders>
            <w:vAlign w:val="center"/>
          </w:tcPr>
          <w:p w14:paraId="32E984F1">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由教育部国际合作与交流司主办，教育部留学服务中心、清华大学等承办</w:t>
            </w:r>
          </w:p>
        </w:tc>
      </w:tr>
      <w:tr w14:paraId="70A6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19934D13">
            <w:pPr>
              <w:widowControl/>
              <w:spacing w:line="276" w:lineRule="auto" w:before="0" w:after="0"/>
              <w:ind w:firstLine="0"/>
              <w:jc w:val="center"/>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10</w:t>
            </w:r>
          </w:p>
        </w:tc>
        <w:tc>
          <w:tcPr>
            <w:tcW w:w="5516" w:type="dxa"/>
            <w:tcBorders>
              <w:top w:val="single" w:color="auto" w:sz="4" w:space="0"/>
              <w:left w:val="single" w:color="auto" w:sz="4" w:space="0"/>
              <w:bottom w:val="single" w:color="auto" w:sz="4" w:space="0"/>
              <w:right w:val="single" w:color="auto" w:sz="4" w:space="0"/>
            </w:tcBorders>
            <w:vAlign w:val="center"/>
          </w:tcPr>
          <w:p w14:paraId="43009D81">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全国大学生物理实验竞赛</w:t>
            </w:r>
          </w:p>
        </w:tc>
        <w:tc>
          <w:tcPr>
            <w:tcW w:w="8670" w:type="dxa"/>
            <w:tcBorders>
              <w:top w:val="single" w:color="auto" w:sz="4" w:space="0"/>
              <w:left w:val="single" w:color="auto" w:sz="4" w:space="0"/>
              <w:bottom w:val="single" w:color="auto" w:sz="4" w:space="0"/>
              <w:right w:val="single" w:color="auto" w:sz="4" w:space="0"/>
            </w:tcBorders>
            <w:vAlign w:val="center"/>
          </w:tcPr>
          <w:p w14:paraId="09A74245">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教育部、财政部资助，教育部高等学校大学物理课程教学指导委员会、物理学类专业教学指导委员会</w:t>
            </w:r>
          </w:p>
        </w:tc>
      </w:tr>
      <w:tr w14:paraId="674A6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2E537FC9">
            <w:pPr>
              <w:widowControl/>
              <w:spacing w:line="276" w:lineRule="auto" w:before="0" w:after="0"/>
              <w:ind w:firstLine="0"/>
              <w:jc w:val="center"/>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11</w:t>
            </w:r>
          </w:p>
        </w:tc>
        <w:tc>
          <w:tcPr>
            <w:tcW w:w="5516" w:type="dxa"/>
            <w:tcBorders>
              <w:top w:val="single" w:color="auto" w:sz="4" w:space="0"/>
              <w:left w:val="single" w:color="auto" w:sz="4" w:space="0"/>
              <w:bottom w:val="single" w:color="auto" w:sz="4" w:space="0"/>
              <w:right w:val="single" w:color="auto" w:sz="4" w:space="0"/>
            </w:tcBorders>
            <w:vAlign w:val="center"/>
          </w:tcPr>
          <w:p w14:paraId="545A1EDB">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全国大学生节能减排社会实践与科技竞赛</w:t>
            </w:r>
          </w:p>
        </w:tc>
        <w:tc>
          <w:tcPr>
            <w:tcW w:w="8670" w:type="dxa"/>
            <w:tcBorders>
              <w:top w:val="single" w:color="auto" w:sz="4" w:space="0"/>
              <w:left w:val="single" w:color="auto" w:sz="4" w:space="0"/>
              <w:bottom w:val="single" w:color="auto" w:sz="4" w:space="0"/>
              <w:right w:val="single" w:color="auto" w:sz="4" w:space="0"/>
            </w:tcBorders>
            <w:vAlign w:val="center"/>
          </w:tcPr>
          <w:p w14:paraId="205E936C">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教育部、财政部资助，教育部高等学校能源动力类专业教学指导委员会主办</w:t>
            </w:r>
          </w:p>
        </w:tc>
      </w:tr>
      <w:tr w14:paraId="23CC8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2BF42F02">
            <w:pPr>
              <w:widowControl/>
              <w:spacing w:line="276" w:lineRule="auto" w:before="0" w:after="0"/>
              <w:ind w:firstLine="0"/>
              <w:jc w:val="center"/>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12</w:t>
            </w:r>
          </w:p>
        </w:tc>
        <w:tc>
          <w:tcPr>
            <w:tcW w:w="5516" w:type="dxa"/>
            <w:tcBorders>
              <w:top w:val="single" w:color="auto" w:sz="4" w:space="0"/>
              <w:left w:val="single" w:color="auto" w:sz="4" w:space="0"/>
              <w:bottom w:val="single" w:color="auto" w:sz="4" w:space="0"/>
              <w:right w:val="single" w:color="auto" w:sz="4" w:space="0"/>
            </w:tcBorders>
            <w:vAlign w:val="center"/>
          </w:tcPr>
          <w:p w14:paraId="51BC3811">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中华经典诵写讲大赛-①讲解大赛、②书写大赛、③诵读大赛、④篆刻大赛</w:t>
            </w:r>
          </w:p>
        </w:tc>
        <w:tc>
          <w:tcPr>
            <w:tcW w:w="8670" w:type="dxa"/>
            <w:tcBorders>
              <w:top w:val="single" w:color="auto" w:sz="4" w:space="0"/>
              <w:left w:val="single" w:color="auto" w:sz="4" w:space="0"/>
              <w:bottom w:val="single" w:color="auto" w:sz="4" w:space="0"/>
              <w:right w:val="single" w:color="auto" w:sz="4" w:space="0"/>
            </w:tcBorders>
            <w:vAlign w:val="center"/>
          </w:tcPr>
          <w:p w14:paraId="3CBFC3EF">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教育部语言应用管理司</w:t>
            </w:r>
          </w:p>
        </w:tc>
      </w:tr>
      <w:tr w14:paraId="6CB35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78605F60">
            <w:pPr>
              <w:widowControl/>
              <w:spacing w:line="276" w:lineRule="auto" w:before="0" w:after="0"/>
              <w:ind w:firstLine="0"/>
              <w:jc w:val="center"/>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13</w:t>
            </w:r>
          </w:p>
        </w:tc>
        <w:tc>
          <w:tcPr>
            <w:tcW w:w="5516" w:type="dxa"/>
            <w:tcBorders>
              <w:top w:val="single" w:color="auto" w:sz="4" w:space="0"/>
              <w:left w:val="single" w:color="auto" w:sz="4" w:space="0"/>
              <w:bottom w:val="single" w:color="auto" w:sz="4" w:space="0"/>
              <w:right w:val="single" w:color="auto" w:sz="4" w:space="0"/>
            </w:tcBorders>
            <w:vAlign w:val="center"/>
          </w:tcPr>
          <w:p w14:paraId="2437D1B3">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全国大学生职业规划大赛</w:t>
            </w:r>
          </w:p>
        </w:tc>
        <w:tc>
          <w:tcPr>
            <w:tcW w:w="8670" w:type="dxa"/>
            <w:tcBorders>
              <w:top w:val="single" w:color="auto" w:sz="4" w:space="0"/>
              <w:left w:val="single" w:color="auto" w:sz="4" w:space="0"/>
              <w:bottom w:val="single" w:color="auto" w:sz="4" w:space="0"/>
              <w:right w:val="single" w:color="auto" w:sz="4" w:space="0"/>
            </w:tcBorders>
            <w:vAlign w:val="center"/>
          </w:tcPr>
          <w:p w14:paraId="0C748231">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教育部</w:t>
            </w:r>
          </w:p>
        </w:tc>
      </w:tr>
      <w:tr w14:paraId="093D4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36B18CBB">
            <w:pPr>
              <w:widowControl/>
              <w:spacing w:line="276" w:lineRule="auto" w:before="0" w:after="0"/>
              <w:ind w:firstLine="0"/>
              <w:jc w:val="center"/>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14</w:t>
            </w:r>
          </w:p>
        </w:tc>
        <w:tc>
          <w:tcPr>
            <w:tcW w:w="5516" w:type="dxa"/>
            <w:tcBorders>
              <w:top w:val="single" w:color="auto" w:sz="4" w:space="0"/>
              <w:left w:val="single" w:color="auto" w:sz="4" w:space="0"/>
              <w:bottom w:val="single" w:color="auto" w:sz="4" w:space="0"/>
              <w:right w:val="single" w:color="auto" w:sz="4" w:space="0"/>
            </w:tcBorders>
            <w:vAlign w:val="center"/>
          </w:tcPr>
          <w:p w14:paraId="5470ACF0">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全国学生“学宪法 讲宪法”活动</w:t>
            </w:r>
          </w:p>
        </w:tc>
        <w:tc>
          <w:tcPr>
            <w:tcW w:w="8670" w:type="dxa"/>
            <w:tcBorders>
              <w:top w:val="single" w:color="auto" w:sz="4" w:space="0"/>
              <w:left w:val="single" w:color="auto" w:sz="4" w:space="0"/>
              <w:bottom w:val="single" w:color="auto" w:sz="4" w:space="0"/>
              <w:right w:val="single" w:color="auto" w:sz="4" w:space="0"/>
            </w:tcBorders>
            <w:vAlign w:val="center"/>
          </w:tcPr>
          <w:p w14:paraId="01A74636">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教育部全国教育普法领导小组办公室（政策法规司）</w:t>
            </w:r>
          </w:p>
        </w:tc>
      </w:tr>
      <w:tr w14:paraId="4670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3F8E53">
            <w:pPr>
              <w:widowControl/>
              <w:spacing w:line="276" w:lineRule="auto" w:before="0" w:after="0"/>
              <w:ind w:firstLine="0"/>
              <w:jc w:val="center"/>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15</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43BDCA">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ACM-ICPC国际大学生程序设计竞赛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D4AFFC">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国际计算机协会</w:t>
            </w:r>
          </w:p>
        </w:tc>
      </w:tr>
      <w:tr w14:paraId="53AA1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21"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429710">
            <w:pPr>
              <w:spacing w:line="276" w:lineRule="auto" w:before="0" w:after="0"/>
              <w:ind w:firstLine="0"/>
              <w:jc w:val="center"/>
              <w:rPr>
                <w:rFonts w:hint="eastAsia" w:ascii="仿宋_GB2312" w:hAnsi="等线" w:eastAsia="仿宋_GB2312" w:cs="仿宋_GB2312"/>
                <w:sz w:val="24"/>
              </w:rPr>
            </w:pPr>
            <w:r>
              <w:rPr>
                <w:rFonts w:hint="eastAsia" w:ascii="Times New Roman" w:hAnsi="Times New Roman" w:eastAsia="宋体" w:cs="黑体"/>
                <w:b w:val="0"/>
                <w:kern w:val="0"/>
                <w:sz w:val="21"/>
                <w:szCs w:val="28"/>
              </w:rPr>
              <w:t>一类竞赛（D级）：43个竞赛</w:t>
            </w:r>
          </w:p>
        </w:tc>
      </w:tr>
      <w:tr w14:paraId="66D4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546443">
            <w:pPr>
              <w:widowControl/>
              <w:spacing w:line="276" w:lineRule="auto" w:before="0" w:after="0"/>
              <w:ind w:firstLine="0"/>
              <w:jc w:val="center"/>
              <w:textAlignment w:val="center"/>
              <w:rPr>
                <w:rFonts w:hint="eastAsia" w:ascii="仿宋_GB2312" w:hAnsi="等线" w:eastAsia="仿宋_GB2312" w:cs="仿宋_GB2312"/>
                <w:b/>
                <w:bCs/>
                <w:sz w:val="24"/>
              </w:rPr>
            </w:pPr>
            <w:r>
              <w:rPr>
                <w:rFonts w:hint="eastAsia" w:ascii="Times New Roman" w:hAnsi="Times New Roman" w:eastAsia="宋体" w:cs="仿宋_GB2312"/>
                <w:b w:val="0"/>
                <w:bCs/>
                <w:kern w:val="0"/>
                <w:sz w:val="21"/>
              </w:rPr>
              <w:t>序号</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9735DC">
            <w:pPr>
              <w:widowControl/>
              <w:spacing w:line="276" w:lineRule="auto" w:before="0" w:after="0"/>
              <w:ind w:firstLine="0"/>
              <w:jc w:val="center"/>
              <w:textAlignment w:val="center"/>
              <w:rPr>
                <w:rFonts w:hint="eastAsia" w:ascii="仿宋_GB2312" w:hAnsi="等线" w:eastAsia="仿宋_GB2312" w:cs="仿宋_GB2312"/>
                <w:b/>
                <w:bCs/>
                <w:sz w:val="24"/>
              </w:rPr>
            </w:pPr>
            <w:r>
              <w:rPr>
                <w:rFonts w:hint="eastAsia" w:ascii="Times New Roman" w:hAnsi="Times New Roman" w:eastAsia="宋体" w:cs="仿宋_GB2312"/>
                <w:b w:val="0"/>
                <w:bCs/>
                <w:kern w:val="0"/>
                <w:sz w:val="21"/>
              </w:rPr>
              <w:t>竞赛名称</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F9F264">
            <w:pPr>
              <w:widowControl/>
              <w:spacing w:line="276" w:lineRule="auto" w:before="0" w:after="0"/>
              <w:ind w:firstLine="0"/>
              <w:jc w:val="center"/>
              <w:textAlignment w:val="center"/>
              <w:rPr>
                <w:rFonts w:hint="eastAsia" w:ascii="仿宋_GB2312" w:hAnsi="等线" w:eastAsia="仿宋_GB2312" w:cs="仿宋_GB2312"/>
                <w:b/>
                <w:bCs/>
                <w:sz w:val="24"/>
              </w:rPr>
            </w:pPr>
            <w:r>
              <w:rPr>
                <w:rFonts w:hint="eastAsia" w:ascii="Times New Roman" w:hAnsi="Times New Roman" w:eastAsia="宋体" w:cs="仿宋_GB2312"/>
                <w:b w:val="0"/>
                <w:bCs/>
                <w:kern w:val="0"/>
                <w:sz w:val="21"/>
              </w:rPr>
              <w:t>主办方</w:t>
            </w:r>
          </w:p>
        </w:tc>
      </w:tr>
      <w:tr w14:paraId="013B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B199AE">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1</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616608">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中国国际飞行器设计挑战赛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93EEC2">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国家体育总局航管中心、中国航空运动协会</w:t>
            </w:r>
          </w:p>
        </w:tc>
      </w:tr>
      <w:tr w14:paraId="0477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64E8C218">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2</w:t>
            </w:r>
          </w:p>
        </w:tc>
        <w:tc>
          <w:tcPr>
            <w:tcW w:w="5516" w:type="dxa"/>
            <w:tcBorders>
              <w:top w:val="single" w:color="auto" w:sz="4" w:space="0"/>
              <w:left w:val="single" w:color="auto" w:sz="4" w:space="0"/>
              <w:bottom w:val="single" w:color="auto" w:sz="4" w:space="0"/>
              <w:right w:val="single" w:color="auto" w:sz="4" w:space="0"/>
            </w:tcBorders>
            <w:vAlign w:val="center"/>
          </w:tcPr>
          <w:p w14:paraId="506AF22E">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外研社全国大学生英语系列赛-①英语演讲、②英语辩论、③英语写作、④英语阅读</w:t>
            </w:r>
          </w:p>
        </w:tc>
        <w:tc>
          <w:tcPr>
            <w:tcW w:w="8670" w:type="dxa"/>
            <w:tcBorders>
              <w:top w:val="single" w:color="auto" w:sz="4" w:space="0"/>
              <w:left w:val="single" w:color="auto" w:sz="4" w:space="0"/>
              <w:bottom w:val="single" w:color="auto" w:sz="4" w:space="0"/>
              <w:right w:val="single" w:color="auto" w:sz="4" w:space="0"/>
            </w:tcBorders>
            <w:vAlign w:val="center"/>
          </w:tcPr>
          <w:p w14:paraId="31D99D63">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北京外国语大学</w:t>
            </w:r>
          </w:p>
        </w:tc>
      </w:tr>
      <w:tr w14:paraId="14F87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7E615ADE">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3</w:t>
            </w:r>
          </w:p>
        </w:tc>
        <w:tc>
          <w:tcPr>
            <w:tcW w:w="5516" w:type="dxa"/>
            <w:tcBorders>
              <w:top w:val="single" w:color="auto" w:sz="4" w:space="0"/>
              <w:left w:val="single" w:color="auto" w:sz="4" w:space="0"/>
              <w:bottom w:val="single" w:color="auto" w:sz="4" w:space="0"/>
              <w:right w:val="single" w:color="auto" w:sz="4" w:space="0"/>
            </w:tcBorders>
            <w:vAlign w:val="center"/>
          </w:tcPr>
          <w:p w14:paraId="77E80024">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两岸新锐设计竞赛·华灿奖</w:t>
            </w:r>
          </w:p>
        </w:tc>
        <w:tc>
          <w:tcPr>
            <w:tcW w:w="8670" w:type="dxa"/>
            <w:tcBorders>
              <w:top w:val="single" w:color="auto" w:sz="4" w:space="0"/>
              <w:left w:val="single" w:color="auto" w:sz="4" w:space="0"/>
              <w:bottom w:val="single" w:color="auto" w:sz="4" w:space="0"/>
              <w:right w:val="single" w:color="auto" w:sz="4" w:space="0"/>
            </w:tcBorders>
            <w:vAlign w:val="center"/>
          </w:tcPr>
          <w:p w14:paraId="1A5A4AE9">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中国高等教育学会、中华中山文化交流协会和北京歌华传媒集团有限责任公司</w:t>
            </w:r>
          </w:p>
        </w:tc>
      </w:tr>
      <w:tr w14:paraId="3E617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1B7D80C4">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4</w:t>
            </w:r>
          </w:p>
        </w:tc>
        <w:tc>
          <w:tcPr>
            <w:tcW w:w="5516" w:type="dxa"/>
            <w:tcBorders>
              <w:top w:val="single" w:color="auto" w:sz="4" w:space="0"/>
              <w:left w:val="single" w:color="auto" w:sz="4" w:space="0"/>
              <w:bottom w:val="single" w:color="auto" w:sz="4" w:space="0"/>
              <w:right w:val="single" w:color="auto" w:sz="4" w:space="0"/>
            </w:tcBorders>
            <w:vAlign w:val="center"/>
          </w:tcPr>
          <w:p w14:paraId="38C19886">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全国大学生化工设计竞赛</w:t>
            </w:r>
          </w:p>
        </w:tc>
        <w:tc>
          <w:tcPr>
            <w:tcW w:w="8670" w:type="dxa"/>
            <w:tcBorders>
              <w:top w:val="single" w:color="auto" w:sz="4" w:space="0"/>
              <w:left w:val="single" w:color="auto" w:sz="4" w:space="0"/>
              <w:bottom w:val="single" w:color="auto" w:sz="4" w:space="0"/>
              <w:right w:val="single" w:color="auto" w:sz="4" w:space="0"/>
            </w:tcBorders>
            <w:vAlign w:val="center"/>
          </w:tcPr>
          <w:p w14:paraId="760524CB">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教育部高等学校化工类专业教学指导委员会、中国化工学会、中国化工教育协会</w:t>
            </w:r>
          </w:p>
        </w:tc>
      </w:tr>
      <w:tr w14:paraId="5DEC9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3B3778E4">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5</w:t>
            </w:r>
          </w:p>
        </w:tc>
        <w:tc>
          <w:tcPr>
            <w:tcW w:w="5516" w:type="dxa"/>
            <w:tcBorders>
              <w:top w:val="single" w:color="auto" w:sz="4" w:space="0"/>
              <w:left w:val="single" w:color="auto" w:sz="4" w:space="0"/>
              <w:bottom w:val="single" w:color="auto" w:sz="4" w:space="0"/>
              <w:right w:val="single" w:color="auto" w:sz="4" w:space="0"/>
            </w:tcBorders>
            <w:vAlign w:val="center"/>
          </w:tcPr>
          <w:p w14:paraId="5A258F67">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全国大学生市场调查与分析大赛</w:t>
            </w:r>
          </w:p>
        </w:tc>
        <w:tc>
          <w:tcPr>
            <w:tcW w:w="8670" w:type="dxa"/>
            <w:tcBorders>
              <w:top w:val="single" w:color="auto" w:sz="4" w:space="0"/>
              <w:left w:val="single" w:color="auto" w:sz="4" w:space="0"/>
              <w:bottom w:val="single" w:color="auto" w:sz="4" w:space="0"/>
              <w:right w:val="single" w:color="auto" w:sz="4" w:space="0"/>
            </w:tcBorders>
            <w:vAlign w:val="center"/>
          </w:tcPr>
          <w:p w14:paraId="6DFB54AE">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教育部高等学校统计学类专业教学指导委员会、中国商业统计学会</w:t>
            </w:r>
          </w:p>
        </w:tc>
      </w:tr>
      <w:tr w14:paraId="18486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587C6F0D">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6</w:t>
            </w:r>
          </w:p>
        </w:tc>
        <w:tc>
          <w:tcPr>
            <w:tcW w:w="5516" w:type="dxa"/>
            <w:tcBorders>
              <w:top w:val="single" w:color="auto" w:sz="4" w:space="0"/>
              <w:left w:val="single" w:color="auto" w:sz="4" w:space="0"/>
              <w:bottom w:val="single" w:color="auto" w:sz="4" w:space="0"/>
              <w:right w:val="single" w:color="auto" w:sz="4" w:space="0"/>
            </w:tcBorders>
            <w:vAlign w:val="center"/>
          </w:tcPr>
          <w:p w14:paraId="38BD1AFE">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全国大学生先进成图技术与产品信息建模创新大赛</w:t>
            </w:r>
          </w:p>
        </w:tc>
        <w:tc>
          <w:tcPr>
            <w:tcW w:w="8670" w:type="dxa"/>
            <w:tcBorders>
              <w:top w:val="single" w:color="auto" w:sz="4" w:space="0"/>
              <w:left w:val="single" w:color="auto" w:sz="4" w:space="0"/>
              <w:bottom w:val="single" w:color="auto" w:sz="4" w:space="0"/>
              <w:right w:val="single" w:color="auto" w:sz="4" w:space="0"/>
            </w:tcBorders>
            <w:vAlign w:val="center"/>
          </w:tcPr>
          <w:p w14:paraId="49C150DF">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教育部高等学校工程图学课程教学指导委员会、中国图学学会制图技术专业委员会和中国图学学会产品信息建模专业委员会</w:t>
            </w:r>
          </w:p>
        </w:tc>
      </w:tr>
      <w:tr w14:paraId="31CE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2D083D0C">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7</w:t>
            </w:r>
          </w:p>
        </w:tc>
        <w:tc>
          <w:tcPr>
            <w:tcW w:w="5516" w:type="dxa"/>
            <w:tcBorders>
              <w:top w:val="single" w:color="auto" w:sz="4" w:space="0"/>
              <w:left w:val="single" w:color="auto" w:sz="4" w:space="0"/>
              <w:bottom w:val="single" w:color="auto" w:sz="4" w:space="0"/>
              <w:right w:val="single" w:color="auto" w:sz="4" w:space="0"/>
            </w:tcBorders>
            <w:vAlign w:val="center"/>
          </w:tcPr>
          <w:p w14:paraId="301AB1C1">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全国三维数字化创新设计大赛</w:t>
            </w:r>
          </w:p>
        </w:tc>
        <w:tc>
          <w:tcPr>
            <w:tcW w:w="8670" w:type="dxa"/>
            <w:tcBorders>
              <w:top w:val="single" w:color="auto" w:sz="4" w:space="0"/>
              <w:left w:val="single" w:color="auto" w:sz="4" w:space="0"/>
              <w:bottom w:val="single" w:color="auto" w:sz="4" w:space="0"/>
              <w:right w:val="single" w:color="auto" w:sz="4" w:space="0"/>
            </w:tcBorders>
            <w:vAlign w:val="center"/>
          </w:tcPr>
          <w:p w14:paraId="0B21FC07">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联合国家制造业信息化培训中心、全国三维数字化技术推广服务与教育培训联盟（3D动力）、北京光华设计发展基金会</w:t>
            </w:r>
          </w:p>
        </w:tc>
      </w:tr>
      <w:tr w14:paraId="7D6EB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74FFE8">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8</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8A5C52">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中国大学生计算机设计大赛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0484FD">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教育部高等学校计算机类专业教学指导委员会</w:t>
            </w:r>
          </w:p>
        </w:tc>
      </w:tr>
      <w:tr w14:paraId="460A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8372D0">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9</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D85507">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中国高校计算机大赛-①大数据挑战赛、②团体程序设计天梯赛、③移动应用创新赛、④网络技术挑战赛、⑤人工智能创意赛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42C19D">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全国高等学校计算机教育研究会</w:t>
            </w:r>
          </w:p>
        </w:tc>
      </w:tr>
      <w:tr w14:paraId="0F746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66993E">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10</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1190E6">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蓝桥杯全国软件和信息技术专业人才大赛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F0BC4B">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工业和信息化部人才交流中心</w:t>
            </w:r>
          </w:p>
        </w:tc>
      </w:tr>
      <w:tr w14:paraId="0FF9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0A14A9">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11</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C79726">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米兰设计周--中国高校设计学科师生优秀作品展</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FE5B1B">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中国教育国际交流协会、中国高等教育学会</w:t>
            </w:r>
          </w:p>
        </w:tc>
      </w:tr>
      <w:tr w14:paraId="3EE3F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1A4244">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12</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6CE599">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全国大学生信息安全竞赛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B0EF96">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中国信息安全测评中心、教育部高等学校网络空间安全专业指导委员会、中国互联网发展基金会</w:t>
            </w:r>
          </w:p>
        </w:tc>
      </w:tr>
      <w:tr w14:paraId="70C8B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C0FEDE">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13</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FE7A37">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未来设计师·全国高校数字艺术设计大赛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A37B94">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工业和信息部人才交流中心</w:t>
            </w:r>
          </w:p>
        </w:tc>
      </w:tr>
      <w:tr w14:paraId="4E4FE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20B4D8">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14</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C69CE9">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全国周培源大学生力学竞赛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7E5357">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教育部高等学校力学教学指导委员会力学基础课程教学指导分委员会、中国力学学会、周培源基金会</w:t>
            </w:r>
          </w:p>
        </w:tc>
      </w:tr>
      <w:tr w14:paraId="6EE97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AB82C3">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15</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C46F25">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中国大学生机械工程创新创意大赛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E8C565">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中国机械工程学会</w:t>
            </w:r>
          </w:p>
        </w:tc>
      </w:tr>
      <w:tr w14:paraId="34FB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74C846">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16</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33E87E">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中国机器人大赛暨RoboCup机器人世界杯中国赛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6AF30E">
            <w:pPr>
              <w:widowControl/>
              <w:spacing w:line="276" w:lineRule="auto" w:before="0" w:after="0"/>
              <w:ind w:firstLine="0"/>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中国自动化学会</w:t>
            </w:r>
          </w:p>
        </w:tc>
      </w:tr>
      <w:tr w14:paraId="2B83D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DEE24F">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17</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9CB8DB">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“中国软件杯”大学生软件设计大赛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6C8054">
            <w:pPr>
              <w:widowControl/>
              <w:spacing w:line="276" w:lineRule="auto" w:before="0" w:after="0"/>
              <w:ind w:firstLine="0"/>
              <w:textAlignment w:val="center"/>
              <w:rPr>
                <w:rFonts w:hint="eastAsia" w:ascii="仿宋_GB2312" w:hAnsi="等线" w:eastAsia="仿宋_GB2312" w:cs="仿宋_GB2312"/>
                <w:kern w:val="0"/>
                <w:sz w:val="24"/>
              </w:rPr>
            </w:pPr>
            <w:r>
              <w:rPr>
                <w:rFonts w:hint="eastAsia" w:ascii="Times New Roman" w:hAnsi="Times New Roman" w:eastAsia="宋体" w:cs="仿宋_GB2312"/>
                <w:b w:val="0"/>
                <w:kern w:val="0"/>
                <w:sz w:val="21"/>
              </w:rPr>
              <w:t>“中国软件杯”大学生软件设计大赛组委会</w:t>
            </w:r>
          </w:p>
        </w:tc>
      </w:tr>
      <w:tr w14:paraId="3D46A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DD1070">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18</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CCA447">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睿抗机器人开发者大赛（RAICOM）</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C720EB">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工业和信息化部人才交流中心</w:t>
            </w:r>
          </w:p>
        </w:tc>
      </w:tr>
      <w:tr w14:paraId="57D4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2340A2">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19</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737704">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“大唐杯”全国大学生新一代信息通信技术大赛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A9D16F">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工业和信息化部人才交流中心、中国通信企业协会</w:t>
            </w:r>
          </w:p>
        </w:tc>
      </w:tr>
      <w:tr w14:paraId="25C3F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B0C37C">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20</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482A2A">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华为ICT大赛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8656FC">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华为公司</w:t>
            </w:r>
          </w:p>
        </w:tc>
      </w:tr>
      <w:tr w14:paraId="67E7E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FD0615">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21</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DF4B5E">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全国大学生嵌入式芯片与系统设计竞赛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5B12AA">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中国电子教育学会</w:t>
            </w:r>
          </w:p>
        </w:tc>
      </w:tr>
      <w:tr w14:paraId="453F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E7DFD9">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22</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8361E5">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全国大学生生命科学竞赛(GULSC)</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4F74C5">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教育部高等学校生物科学类专业教学指导委员会、教育部高等学校生物技术、生物工程类专业教学指导委员会和教育部高等学校大学生生物学课程教学指导委员会</w:t>
            </w:r>
          </w:p>
        </w:tc>
      </w:tr>
      <w:tr w14:paraId="313E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B85471">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23</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8C301D">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全国高校商业精英挑战赛-①品牌策划竞赛、②会展专业创新创业实践竞赛、③国际贸易竞赛、④创新创业竞赛、⑤会计与商业管理案例竞赛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1ECA29">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中国国际贸易促进委员会商业行业委员会、中国国际商会商业行业商会、中国商业经济学会</w:t>
            </w:r>
          </w:p>
        </w:tc>
      </w:tr>
      <w:tr w14:paraId="38953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764DEF">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24</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9896ED">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“学创杯”全国大学生创业综合模拟大赛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E2D86B">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高等学校国家级实验教学示范中心联席会经济与管理学科组、中国陶行知研究会</w:t>
            </w:r>
          </w:p>
        </w:tc>
      </w:tr>
      <w:tr w14:paraId="3A3F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75FB73">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25</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3C4DC2">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中国高校智能机器人创意大赛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7FE34A">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中国高等教育学会、教育部工程图学课程教学指导分委员会</w:t>
            </w:r>
          </w:p>
        </w:tc>
      </w:tr>
      <w:tr w14:paraId="13BB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8E3B80">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26</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8D6895">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中国好创意暨全国数字艺术设计大赛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F1CFC1">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中国电子视像行业协会</w:t>
            </w:r>
          </w:p>
        </w:tc>
      </w:tr>
      <w:tr w14:paraId="54D58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27D05B">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27</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710208">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中国机器人及人工智能大赛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67D7FB">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中国机器人及人工智能大赛组委会</w:t>
            </w:r>
          </w:p>
        </w:tc>
      </w:tr>
      <w:tr w14:paraId="5E15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CEBEB2">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28</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7663F8">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“21世纪杯 ”全国英语演讲比赛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E5E881">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21世纪报社</w:t>
            </w:r>
          </w:p>
        </w:tc>
      </w:tr>
      <w:tr w14:paraId="40C03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50446C">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29</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5DC863">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iCAN大学生创新创业大赛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DD6032">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中国信息协会、iCAN大学生创新创业大赛组织委员会</w:t>
            </w:r>
          </w:p>
        </w:tc>
      </w:tr>
      <w:tr w14:paraId="2882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F1E75F">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30</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45F955">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“外教社杯”全国高校学生跨文化能力大赛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7B1934">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中国教育国际交流协会指导、上海外国语大学、上海外语教育出版社承办</w:t>
            </w:r>
          </w:p>
        </w:tc>
      </w:tr>
      <w:tr w14:paraId="4DD7F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E20CAA">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31</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0C9AB1">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百度之星·程序设计大赛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975656">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百度在线网络技术（北京）有限公司（简称百度公司）</w:t>
            </w:r>
          </w:p>
        </w:tc>
      </w:tr>
      <w:tr w14:paraId="6D9C1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8BC904">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32</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AB81A9">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全国大学生工业设计大赛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99F6C1">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全国工业设计一流专业建设协同创新平台、广东省本科高校工业设计专业教学指导委员会</w:t>
            </w:r>
          </w:p>
        </w:tc>
      </w:tr>
      <w:tr w14:paraId="62ADF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95566A">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33</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20DA20">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全国大学生化工实验大赛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5CF19E">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中国化工教育协会</w:t>
            </w:r>
          </w:p>
        </w:tc>
      </w:tr>
      <w:tr w14:paraId="38D60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93F026">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34</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70BFB1">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全国大学生化学实验创新设计大赛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76B3A1">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中国化学会和教育部高等学校国家级实验教学示范中心联席会</w:t>
            </w:r>
          </w:p>
        </w:tc>
      </w:tr>
      <w:tr w14:paraId="5264F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11B8C7">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35</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EA5154">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全国大学生计算机系统能力大赛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3EF5B4">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全国高校计算机教育研究会、全国大学生计算机系统能力大赛组委会</w:t>
            </w:r>
          </w:p>
        </w:tc>
      </w:tr>
      <w:tr w14:paraId="02CA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E5F6CB">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36</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397846">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全国大学生花园设计建造竞赛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C80DEA">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中国风景园林学会教育工作委员会、北京林业大学</w:t>
            </w:r>
          </w:p>
        </w:tc>
      </w:tr>
      <w:tr w14:paraId="3BE48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6F8855">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37</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CDF2E1">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全国大学生物联网设计竞赛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EB95F3">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全国高等学校计算机教育研究会、全国大学生物网设计竞赛组织委员会</w:t>
            </w:r>
          </w:p>
        </w:tc>
      </w:tr>
      <w:tr w14:paraId="0EEAA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3271BD">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38</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424C9B">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全国大学生信息安全与对抗技术竞赛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81B431">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中国兵工学会</w:t>
            </w:r>
          </w:p>
        </w:tc>
      </w:tr>
      <w:tr w14:paraId="7C2E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E83ECE">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39</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BE474A">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全国大学生统计建模大赛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C1D5A5">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中国统计教育学会</w:t>
            </w:r>
          </w:p>
        </w:tc>
      </w:tr>
      <w:tr w14:paraId="2D27E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BD842C">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40</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843E43">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全国大学生数字媒体科技作品及创意竞赛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55659B">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中国人工智能学会</w:t>
            </w:r>
          </w:p>
        </w:tc>
      </w:tr>
      <w:tr w14:paraId="289B6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D3A5BC">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41</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8A0200">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全国企业竞争模拟大赛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7B98A3">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中国管理现代化研究会</w:t>
            </w:r>
          </w:p>
        </w:tc>
      </w:tr>
      <w:tr w14:paraId="4BAC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07B48E">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42</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A68DAA">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全国高等院校数智化企业经营沙盘大赛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95AA1F">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中国商业联合会、新道科技股份有限公司</w:t>
            </w:r>
          </w:p>
        </w:tc>
      </w:tr>
      <w:tr w14:paraId="4470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92DEED">
            <w:pPr>
              <w:widowControl/>
              <w:spacing w:line="276" w:lineRule="auto" w:before="0" w:after="0"/>
              <w:ind w:firstLine="0"/>
              <w:jc w:val="center"/>
              <w:textAlignment w:val="center"/>
              <w:rPr>
                <w:rFonts w:hint="eastAsia" w:ascii="仿宋_GB2312" w:hAnsi="等线" w:eastAsia="仿宋_GB2312" w:cs="仿宋_GB2312"/>
                <w:sz w:val="24"/>
              </w:rPr>
            </w:pPr>
            <w:r>
              <w:rPr>
                <w:rFonts w:hint="eastAsia" w:ascii="Times New Roman" w:hAnsi="Times New Roman" w:eastAsia="宋体" w:cs="仿宋_GB2312"/>
                <w:b w:val="0"/>
                <w:sz w:val="21"/>
              </w:rPr>
              <w:t>43</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7EF27A">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全球校园人工智能算法精英大赛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291DFF">
            <w:pPr>
              <w:widowControl/>
              <w:spacing w:line="276" w:lineRule="auto" w:before="0" w:after="0"/>
              <w:ind w:firstLine="0"/>
              <w:textAlignment w:val="center"/>
              <w:rPr>
                <w:rFonts w:hint="eastAsia" w:ascii="仿宋_GB2312" w:hAnsi="等线" w:eastAsia="仿宋_GB2312" w:cs="仿宋_GB2312"/>
                <w:sz w:val="24"/>
              </w:rPr>
            </w:pPr>
            <w:r>
              <w:rPr>
                <w:rFonts w:hint="eastAsia" w:ascii="Times New Roman" w:hAnsi="Times New Roman" w:eastAsia="宋体" w:cs="仿宋_GB2312"/>
                <w:b w:val="0"/>
                <w:kern w:val="0"/>
                <w:sz w:val="21"/>
              </w:rPr>
              <w:t>江苏省人工智能学会</w:t>
            </w:r>
          </w:p>
        </w:tc>
      </w:tr>
    </w:tbl>
    <w:p w14:paraId="2919AFEB">
      <w:pPr>
        <w:adjustRightInd w:val="0"/>
        <w:snapToGrid w:val="0"/>
        <w:spacing w:after="0" w:line="240" w:lineRule="exact"/>
        <w:ind w:left="995" w:leftChars="67" w:hanging="848" w:hangingChars="404"/>
        <w:jc w:val="both"/>
        <w:rPr>
          <w:rFonts w:hint="eastAsia" w:ascii="仿宋_GB2312" w:hAnsi="宋体" w:eastAsia="仿宋_GB2312" w:cs="仿宋_GB2312"/>
          <w:sz w:val="21"/>
          <w:szCs w:val="21"/>
          <w14:ligatures w14:val="none"/>
        </w:rPr>
      </w:pPr>
    </w:p>
    <w:p w14:paraId="40C30435">
      <w:pPr>
        <w:spacing w:line="276" w:lineRule="auto"/>
        <w:rPr>
          <w:rFonts w:hint="eastAsia" w:ascii="仿宋_GB2312" w:hAnsi="宋体" w:eastAsia="仿宋_GB2312" w:cs="仿宋_GB2312"/>
          <w:sz w:val="21"/>
          <w:szCs w:val="21"/>
          <w14:ligatures w14:val="none"/>
        </w:rPr>
      </w:pPr>
    </w:p>
    <w:sectPr>
      <w:pgSz w:w="16838" w:h="11906" w:orient="landscape"/>
      <w:pgMar w:top="1440" w:right="1803" w:bottom="1440" w:left="1803" w:header="851" w:footer="992" w:gutter="0"/>
      <w:cols w:space="0" w:num="1"/>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B66211D-689C-4063-B04E-DBE19229C9B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6D17631A-59A9-4E8C-88CF-9570ED11352F}"/>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7337003C-A4BF-4E84-89E9-045765930875}"/>
  </w:font>
  <w:font w:name="方正小标宋简体">
    <w:panose1 w:val="02000000000000000000"/>
    <w:charset w:val="86"/>
    <w:family w:val="auto"/>
    <w:pitch w:val="default"/>
    <w:sig w:usb0="A00002BF" w:usb1="184F6CFA" w:usb2="00000012" w:usb3="00000000" w:csb0="00040001" w:csb1="00000000"/>
    <w:embedRegular r:id="rId4" w:fontKey="{FF1183F2-71B6-4B7C-A9CC-DC74A3D77F06}"/>
  </w:font>
  <w:font w:name="仿宋">
    <w:panose1 w:val="02010609060101010101"/>
    <w:charset w:val="86"/>
    <w:family w:val="modern"/>
    <w:pitch w:val="default"/>
    <w:sig w:usb0="800002BF" w:usb1="38CF7CFA" w:usb2="00000016" w:usb3="00000000" w:csb0="00040001" w:csb1="00000000"/>
    <w:embedRegular r:id="rId5" w:fontKey="{245ECE82-E762-41A2-B8C0-B5BA978CAD61}"/>
  </w:font>
  <w:font w:name="微软雅黑">
    <w:panose1 w:val="020B0503020204020204"/>
    <w:charset w:val="86"/>
    <w:family w:val="swiss"/>
    <w:pitch w:val="default"/>
    <w:sig w:usb0="80000287" w:usb1="2ACF3C50" w:usb2="00000016" w:usb3="00000000" w:csb0="0004001F" w:csb1="00000000"/>
    <w:embedRegular r:id="rId6" w:fontKey="{5FF00E6F-C564-40FA-A335-4489DD04D5F8}"/>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B3BE2">
    <w:pPr>
      <w:pStyle w:val="13"/>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0F67F8">
                          <w:pPr>
                            <w:pStyle w:val="13"/>
                            <w:rPr>
                              <w:rFonts w:hint="eastAsia"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C0F67F8">
                    <w:pPr>
                      <w:pStyle w:val="13"/>
                      <w:rPr>
                        <w:rFonts w:hint="eastAsia"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TrueTypeFonts/>
  <w:saveSubsetFonts/>
  <w:bordersDoNotSurroundHeader w:val="0"/>
  <w:bordersDoNotSurroundFooter w:val="0"/>
  <w:documentProtection w:enforcement="0"/>
  <w:defaultTabStop w:val="420"/>
  <w:drawingGridHorizontalSpacing w:val="110"/>
  <w:drawingGridVerticalSpacing w:val="319"/>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llMTMzNWFiNDBlZGIwMzE4OTVkNGY3NTRmMTljY2QifQ=="/>
  </w:docVars>
  <w:rsids>
    <w:rsidRoot w:val="00BA2C20"/>
    <w:rsid w:val="00011CF7"/>
    <w:rsid w:val="00054573"/>
    <w:rsid w:val="00064E8F"/>
    <w:rsid w:val="00072612"/>
    <w:rsid w:val="000C1DAB"/>
    <w:rsid w:val="00140D9F"/>
    <w:rsid w:val="00142BED"/>
    <w:rsid w:val="00165F3D"/>
    <w:rsid w:val="00174751"/>
    <w:rsid w:val="00181F21"/>
    <w:rsid w:val="001E3523"/>
    <w:rsid w:val="002431AE"/>
    <w:rsid w:val="00244E45"/>
    <w:rsid w:val="00260149"/>
    <w:rsid w:val="00290F82"/>
    <w:rsid w:val="00293A3C"/>
    <w:rsid w:val="002B7FD8"/>
    <w:rsid w:val="003200B9"/>
    <w:rsid w:val="00325AF3"/>
    <w:rsid w:val="00334855"/>
    <w:rsid w:val="0033504D"/>
    <w:rsid w:val="003B023F"/>
    <w:rsid w:val="004517FD"/>
    <w:rsid w:val="004536E6"/>
    <w:rsid w:val="0045627A"/>
    <w:rsid w:val="00461861"/>
    <w:rsid w:val="0047282D"/>
    <w:rsid w:val="004854ED"/>
    <w:rsid w:val="00486530"/>
    <w:rsid w:val="00493588"/>
    <w:rsid w:val="004A0F6F"/>
    <w:rsid w:val="004D3FD7"/>
    <w:rsid w:val="004E1514"/>
    <w:rsid w:val="00507AC9"/>
    <w:rsid w:val="00510AA3"/>
    <w:rsid w:val="00535626"/>
    <w:rsid w:val="00541628"/>
    <w:rsid w:val="00572E92"/>
    <w:rsid w:val="006356C1"/>
    <w:rsid w:val="006646B3"/>
    <w:rsid w:val="0069590E"/>
    <w:rsid w:val="006B22C3"/>
    <w:rsid w:val="006B5F7F"/>
    <w:rsid w:val="007F0747"/>
    <w:rsid w:val="008163A4"/>
    <w:rsid w:val="00827EAE"/>
    <w:rsid w:val="00866EF6"/>
    <w:rsid w:val="00874D76"/>
    <w:rsid w:val="008C7416"/>
    <w:rsid w:val="00924445"/>
    <w:rsid w:val="00927471"/>
    <w:rsid w:val="0097407E"/>
    <w:rsid w:val="009A7A10"/>
    <w:rsid w:val="009C7EFA"/>
    <w:rsid w:val="009D2A3B"/>
    <w:rsid w:val="009D3F6F"/>
    <w:rsid w:val="00A12A6F"/>
    <w:rsid w:val="00AD39B1"/>
    <w:rsid w:val="00AE0512"/>
    <w:rsid w:val="00B53835"/>
    <w:rsid w:val="00B60640"/>
    <w:rsid w:val="00B712C6"/>
    <w:rsid w:val="00B764C9"/>
    <w:rsid w:val="00B82D60"/>
    <w:rsid w:val="00B91D1E"/>
    <w:rsid w:val="00B9303E"/>
    <w:rsid w:val="00BA2C20"/>
    <w:rsid w:val="00BC18FD"/>
    <w:rsid w:val="00BC693D"/>
    <w:rsid w:val="00BD1500"/>
    <w:rsid w:val="00C6436C"/>
    <w:rsid w:val="00C91313"/>
    <w:rsid w:val="00C9445C"/>
    <w:rsid w:val="00CC6302"/>
    <w:rsid w:val="00D025E0"/>
    <w:rsid w:val="00D57127"/>
    <w:rsid w:val="00D63564"/>
    <w:rsid w:val="00DA3464"/>
    <w:rsid w:val="00DB0A87"/>
    <w:rsid w:val="00DD54C5"/>
    <w:rsid w:val="00DE3540"/>
    <w:rsid w:val="00DF49B0"/>
    <w:rsid w:val="00E02312"/>
    <w:rsid w:val="00E06B7A"/>
    <w:rsid w:val="00E340B7"/>
    <w:rsid w:val="00EC53B4"/>
    <w:rsid w:val="00EE3DEC"/>
    <w:rsid w:val="00EE7D9D"/>
    <w:rsid w:val="00F205B1"/>
    <w:rsid w:val="00F22E2F"/>
    <w:rsid w:val="00F8616B"/>
    <w:rsid w:val="00F93778"/>
    <w:rsid w:val="00FB090C"/>
    <w:rsid w:val="00FB63E0"/>
    <w:rsid w:val="03B17953"/>
    <w:rsid w:val="07727D61"/>
    <w:rsid w:val="08927CA9"/>
    <w:rsid w:val="0AA46AE2"/>
    <w:rsid w:val="0B1701D0"/>
    <w:rsid w:val="0B396A7D"/>
    <w:rsid w:val="0B8E5519"/>
    <w:rsid w:val="0BDF0980"/>
    <w:rsid w:val="0CBF3454"/>
    <w:rsid w:val="0E794CFD"/>
    <w:rsid w:val="0FBF2BE4"/>
    <w:rsid w:val="10E54DCB"/>
    <w:rsid w:val="114F447E"/>
    <w:rsid w:val="1173306A"/>
    <w:rsid w:val="1277578B"/>
    <w:rsid w:val="13553E48"/>
    <w:rsid w:val="152A515F"/>
    <w:rsid w:val="18B07A8C"/>
    <w:rsid w:val="1F5F1CED"/>
    <w:rsid w:val="1F76584A"/>
    <w:rsid w:val="1FDC333E"/>
    <w:rsid w:val="275B16C7"/>
    <w:rsid w:val="29007B8A"/>
    <w:rsid w:val="2D6E6EEA"/>
    <w:rsid w:val="2DAC227D"/>
    <w:rsid w:val="2F424F98"/>
    <w:rsid w:val="2FEC5A29"/>
    <w:rsid w:val="31FC212A"/>
    <w:rsid w:val="32892C2E"/>
    <w:rsid w:val="33A1023E"/>
    <w:rsid w:val="35BC012A"/>
    <w:rsid w:val="38E851A3"/>
    <w:rsid w:val="38EE6A55"/>
    <w:rsid w:val="3AA65E47"/>
    <w:rsid w:val="3B316401"/>
    <w:rsid w:val="3D9904A8"/>
    <w:rsid w:val="3E636CAD"/>
    <w:rsid w:val="41CD3F26"/>
    <w:rsid w:val="420F3F6D"/>
    <w:rsid w:val="444A72F0"/>
    <w:rsid w:val="45F05373"/>
    <w:rsid w:val="4AE72A13"/>
    <w:rsid w:val="4CD80866"/>
    <w:rsid w:val="4DBE05F0"/>
    <w:rsid w:val="4ED33600"/>
    <w:rsid w:val="50862A20"/>
    <w:rsid w:val="536161BB"/>
    <w:rsid w:val="549E6F65"/>
    <w:rsid w:val="550C5304"/>
    <w:rsid w:val="57510A69"/>
    <w:rsid w:val="5B3F5F54"/>
    <w:rsid w:val="5C9B50B5"/>
    <w:rsid w:val="5CF07506"/>
    <w:rsid w:val="5E762FB6"/>
    <w:rsid w:val="5EB44455"/>
    <w:rsid w:val="5F7741D1"/>
    <w:rsid w:val="60903FC2"/>
    <w:rsid w:val="622E63D0"/>
    <w:rsid w:val="65953340"/>
    <w:rsid w:val="666F2735"/>
    <w:rsid w:val="67057615"/>
    <w:rsid w:val="69D30FAF"/>
    <w:rsid w:val="6B07083C"/>
    <w:rsid w:val="6C9C29CE"/>
    <w:rsid w:val="6D1C4347"/>
    <w:rsid w:val="6D8D0DA1"/>
    <w:rsid w:val="71A84E6E"/>
    <w:rsid w:val="765D3A06"/>
    <w:rsid w:val="77E017FF"/>
    <w:rsid w:val="78407C0F"/>
    <w:rsid w:val="7908294B"/>
    <w:rsid w:val="79084BE7"/>
    <w:rsid w:val="79E26883"/>
    <w:rsid w:val="7BEB3C37"/>
    <w:rsid w:val="7E264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6"/>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style>
  <w:style w:type="paragraph" w:styleId="12">
    <w:name w:val="Body Text"/>
    <w:basedOn w:val="1"/>
    <w:link w:val="39"/>
    <w:semiHidden/>
    <w:qFormat/>
    <w:uiPriority w:val="0"/>
    <w:pPr>
      <w:widowControl/>
      <w:kinsoku w:val="0"/>
      <w:autoSpaceDE w:val="0"/>
      <w:autoSpaceDN w:val="0"/>
      <w:adjustRightInd w:val="0"/>
      <w:snapToGrid w:val="0"/>
      <w:spacing w:after="0" w:line="240" w:lineRule="auto"/>
      <w:textAlignment w:val="baseline"/>
    </w:pPr>
    <w:rPr>
      <w:rFonts w:ascii="仿宋_GB2312" w:hAnsi="仿宋_GB2312" w:eastAsia="仿宋_GB2312" w:cs="仿宋_GB2312"/>
      <w:snapToGrid w:val="0"/>
      <w:color w:val="000000"/>
      <w:kern w:val="0"/>
      <w:sz w:val="31"/>
      <w:szCs w:val="31"/>
      <w:lang w:eastAsia="en-US"/>
      <w14:ligatures w14:val="none"/>
    </w:rPr>
  </w:style>
  <w:style w:type="paragraph" w:styleId="13">
    <w:name w:val="footer"/>
    <w:basedOn w:val="1"/>
    <w:link w:val="43"/>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42"/>
    <w:unhideWhenUsed/>
    <w:qFormat/>
    <w:uiPriority w:val="99"/>
    <w:pPr>
      <w:tabs>
        <w:tab w:val="center" w:pos="4153"/>
        <w:tab w:val="right" w:pos="8306"/>
      </w:tabs>
      <w:snapToGrid w:val="0"/>
      <w:spacing w:line="240" w:lineRule="auto"/>
      <w:jc w:val="center"/>
    </w:pPr>
    <w:rPr>
      <w:sz w:val="18"/>
      <w:szCs w:val="18"/>
    </w:rPr>
  </w:style>
  <w:style w:type="paragraph" w:styleId="15">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30"/>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8">
    <w:name w:val="Table Grid"/>
    <w:basedOn w:val="1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rPr>
  </w:style>
  <w:style w:type="character" w:customStyle="1" w:styleId="21">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9"/>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9"/>
    <w:link w:val="5"/>
    <w:semiHidden/>
    <w:qFormat/>
    <w:uiPriority w:val="9"/>
    <w:rPr>
      <w:rFonts w:cstheme="majorBidi"/>
      <w:color w:val="104862" w:themeColor="accent1" w:themeShade="BF"/>
      <w:sz w:val="28"/>
      <w:szCs w:val="28"/>
    </w:rPr>
  </w:style>
  <w:style w:type="character" w:customStyle="1" w:styleId="25">
    <w:name w:val="标题 5 字符"/>
    <w:basedOn w:val="19"/>
    <w:link w:val="6"/>
    <w:semiHidden/>
    <w:qFormat/>
    <w:uiPriority w:val="9"/>
    <w:rPr>
      <w:rFonts w:cstheme="majorBidi"/>
      <w:color w:val="104862" w:themeColor="accent1" w:themeShade="BF"/>
      <w:sz w:val="24"/>
    </w:rPr>
  </w:style>
  <w:style w:type="character" w:customStyle="1" w:styleId="26">
    <w:name w:val="标题 6 字符"/>
    <w:basedOn w:val="19"/>
    <w:link w:val="7"/>
    <w:semiHidden/>
    <w:qFormat/>
    <w:uiPriority w:val="9"/>
    <w:rPr>
      <w:rFonts w:cstheme="majorBidi"/>
      <w:b/>
      <w:bCs/>
      <w:color w:val="104862" w:themeColor="accent1" w:themeShade="BF"/>
    </w:rPr>
  </w:style>
  <w:style w:type="character" w:customStyle="1" w:styleId="27">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明显强调1"/>
    <w:basedOn w:val="19"/>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9"/>
    <w:link w:val="36"/>
    <w:qFormat/>
    <w:uiPriority w:val="30"/>
    <w:rPr>
      <w:i/>
      <w:iCs/>
      <w:color w:val="104862" w:themeColor="accent1" w:themeShade="BF"/>
    </w:rPr>
  </w:style>
  <w:style w:type="character" w:customStyle="1" w:styleId="38">
    <w:name w:val="明显参考1"/>
    <w:basedOn w:val="19"/>
    <w:qFormat/>
    <w:uiPriority w:val="32"/>
    <w:rPr>
      <w:b/>
      <w:bCs/>
      <w:smallCaps/>
      <w:color w:val="104862" w:themeColor="accent1" w:themeShade="BF"/>
      <w:spacing w:val="5"/>
    </w:rPr>
  </w:style>
  <w:style w:type="character" w:customStyle="1" w:styleId="39">
    <w:name w:val="正文文本 字符"/>
    <w:basedOn w:val="19"/>
    <w:link w:val="12"/>
    <w:semiHidden/>
    <w:qFormat/>
    <w:uiPriority w:val="0"/>
    <w:rPr>
      <w:rFonts w:ascii="仿宋_GB2312" w:hAnsi="仿宋_GB2312" w:eastAsia="仿宋_GB2312" w:cs="仿宋_GB2312"/>
      <w:snapToGrid w:val="0"/>
      <w:color w:val="000000"/>
      <w:kern w:val="0"/>
      <w:sz w:val="31"/>
      <w:szCs w:val="31"/>
      <w:lang w:eastAsia="en-US"/>
      <w14:ligatures w14:val="none"/>
    </w:rPr>
  </w:style>
  <w:style w:type="table" w:customStyle="1" w:styleId="40">
    <w:name w:val="Table Normal"/>
    <w:semiHidden/>
    <w:unhideWhenUsed/>
    <w:qFormat/>
    <w:uiPriority w:val="0"/>
    <w:rPr>
      <w:rFonts w:ascii="Arial" w:hAnsi="Arial" w:cs="Arial"/>
    </w:rPr>
    <w:tblPr>
      <w:tblCellMar>
        <w:top w:w="0" w:type="dxa"/>
        <w:left w:w="0" w:type="dxa"/>
        <w:bottom w:w="0" w:type="dxa"/>
        <w:right w:w="0" w:type="dxa"/>
      </w:tblCellMar>
    </w:tblPr>
  </w:style>
  <w:style w:type="paragraph" w:customStyle="1" w:styleId="41">
    <w:name w:val="Table Text"/>
    <w:basedOn w:val="1"/>
    <w:semiHidden/>
    <w:qFormat/>
    <w:uiPriority w:val="0"/>
    <w:pPr>
      <w:widowControl/>
      <w:kinsoku w:val="0"/>
      <w:autoSpaceDE w:val="0"/>
      <w:autoSpaceDN w:val="0"/>
      <w:adjustRightInd w:val="0"/>
      <w:snapToGrid w:val="0"/>
      <w:spacing w:after="0" w:line="240" w:lineRule="auto"/>
      <w:textAlignment w:val="baseline"/>
    </w:pPr>
    <w:rPr>
      <w:rFonts w:ascii="仿宋_GB2312" w:hAnsi="仿宋_GB2312" w:eastAsia="仿宋_GB2312" w:cs="仿宋_GB2312"/>
      <w:snapToGrid w:val="0"/>
      <w:color w:val="000000"/>
      <w:kern w:val="0"/>
      <w:sz w:val="24"/>
      <w:lang w:eastAsia="en-US"/>
      <w14:ligatures w14:val="none"/>
    </w:rPr>
  </w:style>
  <w:style w:type="character" w:customStyle="1" w:styleId="42">
    <w:name w:val="页眉 字符"/>
    <w:basedOn w:val="19"/>
    <w:link w:val="14"/>
    <w:qFormat/>
    <w:uiPriority w:val="99"/>
    <w:rPr>
      <w:sz w:val="18"/>
      <w:szCs w:val="18"/>
    </w:rPr>
  </w:style>
  <w:style w:type="character" w:customStyle="1" w:styleId="43">
    <w:name w:val="页脚 字符"/>
    <w:basedOn w:val="19"/>
    <w:link w:val="13"/>
    <w:qFormat/>
    <w:uiPriority w:val="99"/>
    <w:rPr>
      <w:sz w:val="18"/>
      <w:szCs w:val="18"/>
    </w:rPr>
  </w:style>
  <w:style w:type="paragraph" w:customStyle="1" w:styleId="44">
    <w:name w:val="修订1"/>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5">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2.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6440</Words>
  <Characters>6561</Characters>
  <Lines>68</Lines>
  <Paragraphs>19</Paragraphs>
  <TotalTime>5</TotalTime>
  <ScaleCrop>false</ScaleCrop>
  <LinksUpToDate>false</LinksUpToDate>
  <CharactersWithSpaces>6572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2025-08-11T14:24:00Z</dcterms:created>
  <dc:creator>乐乐 秦</dc:creator>
  <cp:lastModifiedBy>李敏</cp:lastModifiedBy>
  <cp:lastPrinted>2025-09-02T09:48:31Z</cp:lastPrinted>
  <dcterms:modified xsi:type="dcterms:W3CDTF">2025-09-02T10:19:42Z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eyJoZGlkIjoiM2M1ZTBiYTAwMThkYTkwNDcyNTk2MGU0NGFhMDVmNjQiLCJ1c2VySWQiOiI2MjE4NTMxMjkifQ==</vt:lpwstr>
  </property>
  <property fmtid="{D5CDD505-2E9C-101B-9397-08002B2CF9AE}" pid="3" name="KSOProductBuildVer">
    <vt:lpwstr>2052-12.1.0.21915</vt:lpwstr>
  </property>
  <property fmtid="{D5CDD505-2E9C-101B-9397-08002B2CF9AE}" pid="4" name="ICV">
    <vt:lpwstr>12B8ECE199374A6481D8ADDC52EB342D_13</vt:lpwstr>
  </property>
</Properties>
</file>