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1137"/>
        <w:spacing w:before="530" w:line="220" w:lineRule="auto"/>
        <w:outlineLvl w:val="0"/>
        <w:rPr>
          <w:rFonts w:ascii="SimSun" w:hAnsi="SimSun" w:eastAsia="SimSun" w:cs="SimSun"/>
          <w:sz w:val="163"/>
          <w:szCs w:val="163"/>
        </w:rPr>
      </w:pPr>
      <w:r>
        <w:rPr>
          <w:rFonts w:ascii="SimSun" w:hAnsi="SimSun" w:eastAsia="SimSun" w:cs="SimSun"/>
          <w:sz w:val="163"/>
          <w:szCs w:val="163"/>
          <w:b/>
          <w:bCs/>
          <w:color w:val="FF1000"/>
          <w:spacing w:val="-141"/>
          <w:w w:val="98"/>
        </w:rPr>
        <w:t>杭州电子科技大学文件</w:t>
      </w:r>
    </w:p>
    <w:p>
      <w:pPr>
        <w:pStyle w:val="BodyText"/>
        <w:spacing w:line="266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pStyle w:val="BodyText"/>
        <w:spacing w:line="267" w:lineRule="auto"/>
        <w:rPr/>
      </w:pPr>
      <w:r/>
    </w:p>
    <w:p>
      <w:pPr>
        <w:pStyle w:val="BodyText"/>
        <w:spacing w:line="267" w:lineRule="auto"/>
        <w:rPr/>
      </w:pPr>
      <w:r/>
    </w:p>
    <w:p>
      <w:pPr>
        <w:ind w:left="5469"/>
        <w:spacing w:before="195" w:line="223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15"/>
        </w:rPr>
        <w:t>杭电教〔2021〕131号</w:t>
      </w:r>
    </w:p>
    <w:p>
      <w:pPr>
        <w:pStyle w:val="BodyText"/>
        <w:spacing w:line="312" w:lineRule="auto"/>
        <w:rPr/>
      </w:pPr>
      <w:r/>
    </w:p>
    <w:p>
      <w:pPr>
        <w:pStyle w:val="BodyText"/>
        <w:spacing w:line="313" w:lineRule="auto"/>
        <w:rPr/>
      </w:pPr>
      <w:r/>
    </w:p>
    <w:p>
      <w:pPr>
        <w:ind w:firstLine="304"/>
        <w:spacing w:line="77" w:lineRule="exact"/>
        <w:rPr/>
      </w:pPr>
      <w:r>
        <w:rPr>
          <w:position w:val="-1"/>
        </w:rPr>
        <w:drawing>
          <wp:inline distT="0" distB="0" distL="0" distR="0">
            <wp:extent cx="10358150" cy="49085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358150" cy="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6" w:lineRule="auto"/>
        <w:rPr/>
      </w:pPr>
      <w:r/>
    </w:p>
    <w:p>
      <w:pPr>
        <w:pStyle w:val="BodyText"/>
        <w:spacing w:line="276" w:lineRule="auto"/>
        <w:rPr/>
      </w:pPr>
      <w:r/>
    </w:p>
    <w:p>
      <w:pPr>
        <w:ind w:left="2264" w:right="1261" w:hanging="1057"/>
        <w:spacing w:before="212" w:line="286" w:lineRule="auto"/>
        <w:rPr>
          <w:rFonts w:ascii="SimSun" w:hAnsi="SimSun" w:eastAsia="SimSun" w:cs="SimSun"/>
          <w:sz w:val="65"/>
          <w:szCs w:val="65"/>
        </w:rPr>
      </w:pPr>
      <w:r>
        <w:rPr>
          <w:rFonts w:ascii="SimSun" w:hAnsi="SimSun" w:eastAsia="SimSun" w:cs="SimSun"/>
          <w:sz w:val="65"/>
          <w:szCs w:val="65"/>
          <w:spacing w:val="35"/>
        </w:rPr>
        <w:t>关于印发《杭州电子科技大学推荐优秀应届本科</w:t>
      </w:r>
      <w:r>
        <w:rPr>
          <w:rFonts w:ascii="SimSun" w:hAnsi="SimSun" w:eastAsia="SimSun" w:cs="SimSun"/>
          <w:sz w:val="65"/>
          <w:szCs w:val="65"/>
          <w:spacing w:val="6"/>
        </w:rPr>
        <w:t xml:space="preserve"> </w:t>
      </w:r>
      <w:r>
        <w:rPr>
          <w:rFonts w:ascii="SimSun" w:hAnsi="SimSun" w:eastAsia="SimSun" w:cs="SimSun"/>
          <w:sz w:val="65"/>
          <w:szCs w:val="65"/>
          <w:spacing w:val="35"/>
        </w:rPr>
        <w:t>毕业生免试攻读研究生实施办法》的通知</w:t>
      </w:r>
    </w:p>
    <w:p>
      <w:pPr>
        <w:pStyle w:val="BodyText"/>
        <w:spacing w:line="278" w:lineRule="auto"/>
        <w:rPr/>
      </w:pPr>
      <w:r/>
    </w:p>
    <w:p>
      <w:pPr>
        <w:pStyle w:val="BodyText"/>
        <w:spacing w:line="278" w:lineRule="auto"/>
        <w:rPr/>
      </w:pPr>
      <w:r/>
    </w:p>
    <w:p>
      <w:pPr>
        <w:pStyle w:val="BodyText"/>
        <w:spacing w:line="279" w:lineRule="auto"/>
        <w:rPr/>
      </w:pPr>
      <w:r/>
    </w:p>
    <w:p>
      <w:pPr>
        <w:pStyle w:val="BodyText"/>
        <w:spacing w:line="279" w:lineRule="auto"/>
        <w:rPr/>
      </w:pPr>
      <w:r/>
    </w:p>
    <w:p>
      <w:pPr>
        <w:ind w:left="59"/>
        <w:spacing w:before="195" w:line="223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-19"/>
        </w:rPr>
        <w:t>各学院、部处：</w:t>
      </w:r>
    </w:p>
    <w:p>
      <w:pPr>
        <w:ind w:right="41" w:firstLine="1266"/>
        <w:spacing w:before="420" w:line="347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-2"/>
        </w:rPr>
        <w:t>现将《杭州电子科技大学推荐优秀应届本科毕业生免试攻读</w:t>
      </w:r>
      <w:r>
        <w:rPr>
          <w:rFonts w:ascii="FangSong" w:hAnsi="FangSong" w:eastAsia="FangSong" w:cs="FangSong"/>
          <w:sz w:val="60"/>
          <w:szCs w:val="60"/>
          <w:spacing w:val="4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5"/>
        </w:rPr>
        <w:t>研究生实施办法》印发给你们，请认真贯彻执行。</w:t>
      </w:r>
    </w:p>
    <w:p>
      <w:pPr>
        <w:ind w:left="1266"/>
        <w:spacing w:before="15" w:line="225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-10"/>
        </w:rPr>
        <w:t>特此通知。</w:t>
      </w:r>
    </w:p>
    <w:p>
      <w:pPr>
        <w:pStyle w:val="BodyText"/>
        <w:spacing w:line="256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pStyle w:val="BodyText"/>
        <w:spacing w:line="257" w:lineRule="auto"/>
        <w:rPr/>
      </w:pPr>
      <w:r/>
    </w:p>
    <w:p>
      <w:pPr>
        <w:ind w:left="9790"/>
        <w:spacing w:before="195" w:line="223" w:lineRule="auto"/>
        <w:rPr>
          <w:rFonts w:ascii="FangSong" w:hAnsi="FangSong" w:eastAsia="FangSong" w:cs="FangSong"/>
          <w:sz w:val="60"/>
          <w:szCs w:val="60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6216674</wp:posOffset>
            </wp:positionH>
            <wp:positionV relativeFrom="paragraph">
              <wp:posOffset>-1144990</wp:posOffset>
            </wp:positionV>
            <wp:extent cx="3078011" cy="3028986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078011" cy="30289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60"/>
          <w:szCs w:val="60"/>
          <w:spacing w:val="9"/>
        </w:rPr>
        <w:t>杭州电子科技大学</w:t>
      </w:r>
    </w:p>
    <w:p>
      <w:pPr>
        <w:pStyle w:val="BodyText"/>
        <w:spacing w:line="380" w:lineRule="auto"/>
        <w:rPr/>
      </w:pPr>
      <w:r/>
    </w:p>
    <w:p>
      <w:pPr>
        <w:ind w:left="10053"/>
        <w:spacing w:before="195" w:line="223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92"/>
        </w:rPr>
        <w:t>2021年9月8日</w:t>
      </w:r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>
        <w:pict>
          <v:rect id="_x0000_s2" style="position:absolute;margin-left:1.14185pt;margin-top:11.0196pt;mso-position-vertical-relative:text;mso-position-horizontal-relative:text;width:841.95pt;height:3.9pt;z-index:251658240;" fillcolor="#000000" filled="true" stroked="false"/>
        </w:pict>
      </w:r>
      <w:r/>
    </w:p>
    <w:p>
      <w:pPr>
        <w:pStyle w:val="BodyText"/>
        <w:spacing w:line="248" w:lineRule="auto"/>
        <w:rPr/>
      </w:pPr>
      <w:r/>
    </w:p>
    <w:p>
      <w:pPr>
        <w:ind w:left="340"/>
        <w:spacing w:before="195" w:line="226" w:lineRule="auto"/>
        <w:rPr>
          <w:rFonts w:ascii="FangSong" w:hAnsi="FangSong" w:eastAsia="FangSong" w:cs="FangSong"/>
          <w:sz w:val="60"/>
          <w:szCs w:val="60"/>
        </w:rPr>
      </w:pPr>
      <w:r>
        <w:pict>
          <v:rect id="_x0000_s4" style="position:absolute;margin-left:0pt;margin-top:48.4764pt;mso-position-vertical-relative:text;mso-position-horizontal-relative:text;width:843.1pt;height:3.65pt;z-index:251659264;" fillcolor="#000000" filled="true" stroked="false"/>
        </w:pict>
      </w:r>
      <w:r>
        <w:rPr>
          <w:rFonts w:ascii="FangSong" w:hAnsi="FangSong" w:eastAsia="FangSong" w:cs="FangSong"/>
          <w:sz w:val="60"/>
          <w:szCs w:val="60"/>
          <w:spacing w:val="4"/>
          <w:position w:val="6"/>
        </w:rPr>
        <w:t>杭州电子科技大学</w:t>
      </w:r>
      <w:r>
        <w:rPr>
          <w:rFonts w:ascii="FangSong" w:hAnsi="FangSong" w:eastAsia="FangSong" w:cs="FangSong"/>
          <w:sz w:val="60"/>
          <w:szCs w:val="60"/>
          <w:spacing w:val="4"/>
          <w:position w:val="6"/>
        </w:rPr>
        <w:t xml:space="preserve">                   </w:t>
      </w:r>
      <w:r>
        <w:rPr>
          <w:rFonts w:ascii="FangSong" w:hAnsi="FangSong" w:eastAsia="FangSong" w:cs="FangSong"/>
          <w:sz w:val="60"/>
          <w:szCs w:val="60"/>
          <w:spacing w:val="76"/>
          <w:position w:val="-4"/>
        </w:rPr>
        <w:t>2021年9月8日印发</w:t>
      </w:r>
    </w:p>
    <w:p>
      <w:pPr>
        <w:spacing w:line="226" w:lineRule="auto"/>
        <w:sectPr>
          <w:pgSz w:w="21959" w:h="31680"/>
          <w:pgMar w:top="2692" w:right="2668" w:bottom="0" w:left="2428" w:header="0" w:footer="0" w:gutter="0"/>
        </w:sectPr>
        <w:rPr>
          <w:rFonts w:ascii="FangSong" w:hAnsi="FangSong" w:eastAsia="FangSong" w:cs="FangSong"/>
          <w:sz w:val="60"/>
          <w:szCs w:val="60"/>
        </w:rPr>
      </w:pPr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ind w:firstLine="1703"/>
        <w:spacing w:line="4734" w:lineRule="exact"/>
        <w:rPr/>
      </w:pPr>
      <w:r>
        <w:rPr>
          <w:position w:val="-94"/>
        </w:rPr>
        <w:drawing>
          <wp:inline distT="0" distB="0" distL="0" distR="0">
            <wp:extent cx="3017635" cy="3006053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017635" cy="300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734" w:lineRule="exact"/>
        <w:sectPr>
          <w:pgSz w:w="21959" w:h="31680"/>
          <w:pgMar w:top="2692" w:right="3293" w:bottom="0" w:left="3293" w:header="0" w:footer="0" w:gutter="0"/>
        </w:sectPr>
        <w:rPr/>
      </w:pPr>
    </w:p>
    <w:p>
      <w:pPr>
        <w:ind w:left="4713" w:right="1940" w:hanging="2696"/>
        <w:spacing w:before="158" w:line="311" w:lineRule="auto"/>
        <w:rPr>
          <w:rFonts w:ascii="SimSun" w:hAnsi="SimSun" w:eastAsia="SimSun" w:cs="SimSun"/>
          <w:sz w:val="71"/>
          <w:szCs w:val="71"/>
        </w:rPr>
      </w:pPr>
      <w:r>
        <w:rPr>
          <w:rFonts w:ascii="SimSun" w:hAnsi="SimSun" w:eastAsia="SimSun" w:cs="SimSun"/>
          <w:sz w:val="71"/>
          <w:szCs w:val="71"/>
          <w:spacing w:val="-36"/>
        </w:rPr>
        <w:t>杭州电子科技大学推荐优秀应届本科毕业生</w:t>
      </w:r>
      <w:r>
        <w:rPr>
          <w:rFonts w:ascii="SimSun" w:hAnsi="SimSun" w:eastAsia="SimSun" w:cs="SimSun"/>
          <w:sz w:val="71"/>
          <w:szCs w:val="71"/>
          <w:spacing w:val="7"/>
        </w:rPr>
        <w:t xml:space="preserve"> </w:t>
      </w:r>
      <w:r>
        <w:rPr>
          <w:rFonts w:ascii="SimSun" w:hAnsi="SimSun" w:eastAsia="SimSun" w:cs="SimSun"/>
          <w:sz w:val="71"/>
          <w:szCs w:val="71"/>
          <w:spacing w:val="-31"/>
        </w:rPr>
        <w:t>免试攻读研究生实施办法</w:t>
      </w:r>
    </w:p>
    <w:p>
      <w:pPr>
        <w:pStyle w:val="BodyText"/>
        <w:spacing w:line="321" w:lineRule="auto"/>
        <w:rPr/>
      </w:pPr>
      <w:r/>
    </w:p>
    <w:p>
      <w:pPr>
        <w:pStyle w:val="BodyText"/>
        <w:spacing w:line="322" w:lineRule="auto"/>
        <w:rPr/>
      </w:pPr>
      <w:r/>
    </w:p>
    <w:p>
      <w:pPr>
        <w:ind w:right="38" w:firstLine="1377"/>
        <w:spacing w:before="214" w:line="296" w:lineRule="auto"/>
        <w:jc w:val="both"/>
        <w:rPr>
          <w:rFonts w:ascii="FangSong" w:hAnsi="FangSong" w:eastAsia="FangSong" w:cs="FangSong"/>
          <w:sz w:val="66"/>
          <w:szCs w:val="66"/>
        </w:rPr>
      </w:pPr>
      <w:r>
        <w:rPr>
          <w:rFonts w:ascii="FangSong" w:hAnsi="FangSong" w:eastAsia="FangSong" w:cs="FangSong"/>
          <w:sz w:val="66"/>
          <w:szCs w:val="66"/>
          <w:spacing w:val="-57"/>
        </w:rPr>
        <w:t>为促进我校推荐优秀应届本科毕业生免试攻读研究生(以下</w:t>
      </w:r>
      <w:r>
        <w:rPr>
          <w:rFonts w:ascii="FangSong" w:hAnsi="FangSong" w:eastAsia="FangSong" w:cs="FangSong"/>
          <w:sz w:val="66"/>
          <w:szCs w:val="66"/>
          <w:spacing w:val="6"/>
        </w:rPr>
        <w:t xml:space="preserve"> </w:t>
      </w:r>
      <w:r>
        <w:rPr>
          <w:rFonts w:ascii="FangSong" w:hAnsi="FangSong" w:eastAsia="FangSong" w:cs="FangSong"/>
          <w:sz w:val="66"/>
          <w:szCs w:val="66"/>
          <w:spacing w:val="-55"/>
        </w:rPr>
        <w:t>简称“推免”)工作的健康发展，提升拔尖创新人才选拔培养力</w:t>
      </w:r>
      <w:r>
        <w:rPr>
          <w:rFonts w:ascii="FangSong" w:hAnsi="FangSong" w:eastAsia="FangSong" w:cs="FangSong"/>
          <w:sz w:val="66"/>
          <w:szCs w:val="66"/>
          <w:spacing w:val="8"/>
        </w:rPr>
        <w:t xml:space="preserve"> </w:t>
      </w:r>
      <w:r>
        <w:rPr>
          <w:rFonts w:ascii="FangSong" w:hAnsi="FangSong" w:eastAsia="FangSong" w:cs="FangSong"/>
          <w:sz w:val="66"/>
          <w:szCs w:val="66"/>
          <w:spacing w:val="-69"/>
        </w:rPr>
        <w:t>度，根据教育部推免工作相关文件精神，结合学校实际，特制定</w:t>
      </w:r>
      <w:r>
        <w:rPr>
          <w:rFonts w:ascii="FangSong" w:hAnsi="FangSong" w:eastAsia="FangSong" w:cs="FangSong"/>
          <w:sz w:val="66"/>
          <w:szCs w:val="66"/>
          <w:spacing w:val="12"/>
        </w:rPr>
        <w:t xml:space="preserve"> </w:t>
      </w:r>
      <w:r>
        <w:rPr>
          <w:rFonts w:ascii="FangSong" w:hAnsi="FangSong" w:eastAsia="FangSong" w:cs="FangSong"/>
          <w:sz w:val="66"/>
          <w:szCs w:val="66"/>
          <w:spacing w:val="-59"/>
        </w:rPr>
        <w:t>本办法。</w:t>
      </w:r>
    </w:p>
    <w:p>
      <w:pPr>
        <w:ind w:left="1301"/>
        <w:spacing w:before="110" w:line="223" w:lineRule="auto"/>
        <w:rPr>
          <w:rFonts w:ascii="SimHei" w:hAnsi="SimHei" w:eastAsia="SimHei" w:cs="SimHei"/>
          <w:sz w:val="60"/>
          <w:szCs w:val="60"/>
        </w:rPr>
      </w:pPr>
      <w:r>
        <w:rPr>
          <w:rFonts w:ascii="SimHei" w:hAnsi="SimHei" w:eastAsia="SimHei" w:cs="SimHei"/>
          <w:sz w:val="60"/>
          <w:szCs w:val="60"/>
          <w:spacing w:val="3"/>
        </w:rPr>
        <w:t>一、基本原则</w:t>
      </w:r>
    </w:p>
    <w:p>
      <w:pPr>
        <w:ind w:right="60" w:firstLine="1319"/>
        <w:spacing w:before="309" w:line="325" w:lineRule="auto"/>
        <w:jc w:val="both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-8"/>
        </w:rPr>
        <w:t>紧密围绕立德树人根本任务，以人才选拔质量为核心，着力</w:t>
      </w:r>
      <w:r>
        <w:rPr>
          <w:rFonts w:ascii="FangSong" w:hAnsi="FangSong" w:eastAsia="FangSong" w:cs="FangSong"/>
          <w:sz w:val="60"/>
          <w:szCs w:val="60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5"/>
        </w:rPr>
        <w:t>服务国家发展战略，坚持公平、公正、公开和</w:t>
      </w:r>
      <w:r>
        <w:rPr>
          <w:rFonts w:ascii="FangSong" w:hAnsi="FangSong" w:eastAsia="FangSong" w:cs="FangSong"/>
          <w:sz w:val="60"/>
          <w:szCs w:val="60"/>
          <w:spacing w:val="-6"/>
        </w:rPr>
        <w:t>德智体美劳全面考</w:t>
      </w:r>
      <w:r>
        <w:rPr>
          <w:rFonts w:ascii="FangSong" w:hAnsi="FangSong" w:eastAsia="FangSong" w:cs="FangSong"/>
          <w:sz w:val="60"/>
          <w:szCs w:val="60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5"/>
        </w:rPr>
        <w:t>察、综合评价、择优选拔的原则，在对学生的学业综合成</w:t>
      </w:r>
      <w:r>
        <w:rPr>
          <w:rFonts w:ascii="FangSong" w:hAnsi="FangSong" w:eastAsia="FangSong" w:cs="FangSong"/>
          <w:sz w:val="60"/>
          <w:szCs w:val="60"/>
          <w:spacing w:val="-6"/>
        </w:rPr>
        <w:t>绩及科</w:t>
      </w:r>
      <w:r>
        <w:rPr>
          <w:rFonts w:ascii="FangSong" w:hAnsi="FangSong" w:eastAsia="FangSong" w:cs="FangSong"/>
          <w:sz w:val="60"/>
          <w:szCs w:val="60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5"/>
        </w:rPr>
        <w:t>研能力进行综合测评的基础上，强化对学生科</w:t>
      </w:r>
      <w:r>
        <w:rPr>
          <w:rFonts w:ascii="FangSong" w:hAnsi="FangSong" w:eastAsia="FangSong" w:cs="FangSong"/>
          <w:sz w:val="60"/>
          <w:szCs w:val="60"/>
          <w:spacing w:val="-6"/>
        </w:rPr>
        <w:t>研创新潜质和专业</w:t>
      </w:r>
      <w:r>
        <w:rPr>
          <w:rFonts w:ascii="FangSong" w:hAnsi="FangSong" w:eastAsia="FangSong" w:cs="FangSong"/>
          <w:sz w:val="60"/>
          <w:szCs w:val="60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12"/>
        </w:rPr>
        <w:t>能力倾向的考核。</w:t>
      </w:r>
    </w:p>
    <w:p>
      <w:pPr>
        <w:ind w:left="1242"/>
        <w:spacing w:before="60" w:line="223" w:lineRule="auto"/>
        <w:rPr>
          <w:rFonts w:ascii="SimHei" w:hAnsi="SimHei" w:eastAsia="SimHei" w:cs="SimHei"/>
          <w:sz w:val="60"/>
          <w:szCs w:val="60"/>
        </w:rPr>
      </w:pPr>
      <w:r>
        <w:rPr>
          <w:rFonts w:ascii="SimHei" w:hAnsi="SimHei" w:eastAsia="SimHei" w:cs="SimHei"/>
          <w:sz w:val="60"/>
          <w:szCs w:val="60"/>
          <w:spacing w:val="3"/>
        </w:rPr>
        <w:t>二、组织机构</w:t>
      </w:r>
    </w:p>
    <w:p>
      <w:pPr>
        <w:ind w:right="101" w:firstLine="1377"/>
        <w:spacing w:before="242" w:line="299" w:lineRule="auto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2"/>
          <w:szCs w:val="62"/>
          <w:spacing w:val="-8"/>
        </w:rPr>
        <w:t>(一)学校成立推免生遴选工作领导小组，由分管本科教学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6"/>
        </w:rPr>
        <w:t>的副校长和分管学生工作的校党委副书记任组长，成员包括教务</w:t>
      </w:r>
      <w:r>
        <w:rPr>
          <w:rFonts w:ascii="FangSong" w:hAnsi="FangSong" w:eastAsia="FangSong" w:cs="FangSong"/>
          <w:sz w:val="62"/>
          <w:szCs w:val="62"/>
          <w:spacing w:val="18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7"/>
        </w:rPr>
        <w:t>处、研究生院、学生处、校团委、纪检监察室等</w:t>
      </w:r>
      <w:r>
        <w:rPr>
          <w:rFonts w:ascii="FangSong" w:hAnsi="FangSong" w:eastAsia="FangSong" w:cs="FangSong"/>
          <w:sz w:val="62"/>
          <w:szCs w:val="62"/>
          <w:spacing w:val="-28"/>
        </w:rPr>
        <w:t>相关职能部门负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5"/>
        </w:rPr>
        <w:t>责人。领导小组全面负责学校推免工作，包括</w:t>
      </w:r>
      <w:r>
        <w:rPr>
          <w:rFonts w:ascii="FangSong" w:hAnsi="FangSong" w:eastAsia="FangSong" w:cs="FangSong"/>
          <w:sz w:val="62"/>
          <w:szCs w:val="62"/>
          <w:spacing w:val="-26"/>
        </w:rPr>
        <w:t>审批推免生遴选工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6"/>
        </w:rPr>
        <w:t>作方案、审定推荐名额分配数、审定推免生名单等事项。下设遴</w:t>
      </w:r>
      <w:r>
        <w:rPr>
          <w:rFonts w:ascii="FangSong" w:hAnsi="FangSong" w:eastAsia="FangSong" w:cs="FangSong"/>
          <w:sz w:val="62"/>
          <w:szCs w:val="62"/>
          <w:spacing w:val="18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35"/>
        </w:rPr>
        <w:t>选工作办公室，挂靠教务处，负责推免生遴选日常工作。</w:t>
      </w:r>
    </w:p>
    <w:p>
      <w:pPr>
        <w:ind w:firstLine="1377"/>
        <w:spacing w:before="350" w:line="287" w:lineRule="auto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2"/>
          <w:szCs w:val="62"/>
          <w:spacing w:val="-4"/>
        </w:rPr>
        <w:t>(二)各学院成立推免生遴选工作小组，由院长担任</w:t>
      </w:r>
      <w:r>
        <w:rPr>
          <w:rFonts w:ascii="FangSong" w:hAnsi="FangSong" w:eastAsia="FangSong" w:cs="FangSong"/>
          <w:sz w:val="62"/>
          <w:szCs w:val="62"/>
          <w:spacing w:val="-5"/>
        </w:rPr>
        <w:t>组长，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5"/>
        </w:rPr>
        <w:t>成员包括分管本科教学、研究生教育、学生工</w:t>
      </w:r>
      <w:r>
        <w:rPr>
          <w:rFonts w:ascii="FangSong" w:hAnsi="FangSong" w:eastAsia="FangSong" w:cs="FangSong"/>
          <w:sz w:val="62"/>
          <w:szCs w:val="62"/>
          <w:spacing w:val="-26"/>
        </w:rPr>
        <w:t>作的学院领导和具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1"/>
        </w:rPr>
        <w:t>有高级职称的教师代表，成员人数须为奇数，且不得少于七</w:t>
      </w:r>
      <w:r>
        <w:rPr>
          <w:rFonts w:ascii="FangSong" w:hAnsi="FangSong" w:eastAsia="FangSong" w:cs="FangSong"/>
          <w:sz w:val="62"/>
          <w:szCs w:val="62"/>
          <w:spacing w:val="-22"/>
        </w:rPr>
        <w:t>人。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1"/>
        </w:rPr>
        <w:t>学院根据本办法制定推免工作实施细则并具体实</w:t>
      </w:r>
      <w:r>
        <w:rPr>
          <w:rFonts w:ascii="FangSong" w:hAnsi="FangSong" w:eastAsia="FangSong" w:cs="FangSong"/>
          <w:sz w:val="62"/>
          <w:szCs w:val="62"/>
          <w:spacing w:val="-22"/>
        </w:rPr>
        <w:t>施。</w:t>
      </w:r>
    </w:p>
    <w:p>
      <w:pPr>
        <w:spacing w:line="287" w:lineRule="auto"/>
        <w:sectPr>
          <w:footerReference w:type="default" r:id="rId4"/>
          <w:pgSz w:w="22149" w:h="31680"/>
          <w:pgMar w:top="2692" w:right="2737" w:bottom="2310" w:left="2638" w:header="0" w:footer="2055" w:gutter="0"/>
        </w:sectPr>
        <w:rPr>
          <w:rFonts w:ascii="FangSong" w:hAnsi="FangSong" w:eastAsia="FangSong" w:cs="FangSong"/>
          <w:sz w:val="62"/>
          <w:szCs w:val="62"/>
        </w:rPr>
      </w:pPr>
    </w:p>
    <w:p>
      <w:pPr>
        <w:ind w:left="134" w:firstLine="1396"/>
        <w:spacing w:before="153" w:line="330" w:lineRule="auto"/>
        <w:jc w:val="both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-11"/>
        </w:rPr>
        <w:t>(三)“研究生支教团推免专项计划”推免生(以下简称“支</w:t>
      </w:r>
      <w:r>
        <w:rPr>
          <w:rFonts w:ascii="FangSong" w:hAnsi="FangSong" w:eastAsia="FangSong" w:cs="FangSong"/>
          <w:sz w:val="60"/>
          <w:szCs w:val="60"/>
          <w:spacing w:val="11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3"/>
        </w:rPr>
        <w:t>教团”)的推荐遴选工作，由校团委牵头，会同教务处、研究生</w:t>
      </w:r>
      <w:r>
        <w:rPr>
          <w:rFonts w:ascii="FangSong" w:hAnsi="FangSong" w:eastAsia="FangSong" w:cs="FangSong"/>
          <w:sz w:val="60"/>
          <w:szCs w:val="60"/>
          <w:spacing w:val="2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9"/>
        </w:rPr>
        <w:t>院、学生处等职能部门根据本办法等有关规定，制定推免工作细</w:t>
      </w:r>
      <w:r>
        <w:rPr>
          <w:rFonts w:ascii="FangSong" w:hAnsi="FangSong" w:eastAsia="FangSong" w:cs="FangSong"/>
          <w:sz w:val="60"/>
          <w:szCs w:val="60"/>
          <w:spacing w:val="10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12"/>
        </w:rPr>
        <w:t>则并具体实施。</w:t>
      </w:r>
    </w:p>
    <w:p>
      <w:pPr>
        <w:ind w:left="1360"/>
        <w:spacing w:before="49" w:line="221" w:lineRule="auto"/>
        <w:rPr>
          <w:rFonts w:ascii="SimHei" w:hAnsi="SimHei" w:eastAsia="SimHei" w:cs="SimHei"/>
          <w:sz w:val="60"/>
          <w:szCs w:val="60"/>
        </w:rPr>
      </w:pPr>
      <w:r>
        <w:rPr>
          <w:rFonts w:ascii="SimHei" w:hAnsi="SimHei" w:eastAsia="SimHei" w:cs="SimHei"/>
          <w:sz w:val="60"/>
          <w:szCs w:val="60"/>
          <w:spacing w:val="-18"/>
        </w:rPr>
        <w:t>三</w:t>
      </w:r>
      <w:r>
        <w:rPr>
          <w:rFonts w:ascii="SimHei" w:hAnsi="SimHei" w:eastAsia="SimHei" w:cs="SimHei"/>
          <w:sz w:val="60"/>
          <w:szCs w:val="60"/>
          <w:spacing w:val="-155"/>
        </w:rPr>
        <w:t xml:space="preserve"> </w:t>
      </w:r>
      <w:r>
        <w:rPr>
          <w:rFonts w:ascii="SimHei" w:hAnsi="SimHei" w:eastAsia="SimHei" w:cs="SimHei"/>
          <w:sz w:val="60"/>
          <w:szCs w:val="60"/>
          <w:spacing w:val="-18"/>
        </w:rPr>
        <w:t>、推荐类别</w:t>
      </w:r>
    </w:p>
    <w:p>
      <w:pPr>
        <w:ind w:left="1530"/>
        <w:spacing w:before="357" w:line="223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29"/>
        </w:rPr>
        <w:t>(一)普通推免生；</w:t>
      </w:r>
    </w:p>
    <w:p>
      <w:pPr>
        <w:ind w:left="1530"/>
        <w:spacing w:before="216" w:line="222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10"/>
        </w:rPr>
        <w:t>(二)有特殊学术专长的推免生；</w:t>
      </w:r>
    </w:p>
    <w:p>
      <w:pPr>
        <w:ind w:left="1530"/>
        <w:spacing w:before="352" w:line="223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11"/>
        </w:rPr>
        <w:t>(三)“研究生支教团推免专项计划”推免生。</w:t>
      </w:r>
    </w:p>
    <w:p>
      <w:pPr>
        <w:ind w:left="134" w:right="57" w:firstLine="1149"/>
        <w:spacing w:before="243" w:line="324" w:lineRule="auto"/>
        <w:rPr>
          <w:rFonts w:ascii="FangSong" w:hAnsi="FangSong" w:eastAsia="FangSong" w:cs="FangSong"/>
          <w:sz w:val="65"/>
          <w:szCs w:val="65"/>
        </w:rPr>
      </w:pPr>
      <w:r>
        <w:rPr>
          <w:rFonts w:ascii="FangSong" w:hAnsi="FangSong" w:eastAsia="FangSong" w:cs="FangSong"/>
          <w:sz w:val="65"/>
          <w:szCs w:val="65"/>
          <w:spacing w:val="-59"/>
        </w:rPr>
        <w:t>符合推荐条件的学生可以在以上推免生类别中选择一类提出</w:t>
      </w:r>
      <w:r>
        <w:rPr>
          <w:rFonts w:ascii="FangSong" w:hAnsi="FangSong" w:eastAsia="FangSong" w:cs="FangSong"/>
          <w:sz w:val="65"/>
          <w:szCs w:val="65"/>
          <w:spacing w:val="13"/>
        </w:rPr>
        <w:t xml:space="preserve"> </w:t>
      </w:r>
      <w:r>
        <w:rPr>
          <w:rFonts w:ascii="FangSong" w:hAnsi="FangSong" w:eastAsia="FangSong" w:cs="FangSong"/>
          <w:sz w:val="65"/>
          <w:szCs w:val="65"/>
          <w:spacing w:val="-68"/>
        </w:rPr>
        <w:t>申请。</w:t>
      </w:r>
    </w:p>
    <w:p>
      <w:pPr>
        <w:ind w:left="1283"/>
        <w:spacing w:line="222" w:lineRule="auto"/>
        <w:rPr>
          <w:rFonts w:ascii="SimHei" w:hAnsi="SimHei" w:eastAsia="SimHei" w:cs="SimHei"/>
          <w:sz w:val="60"/>
          <w:szCs w:val="60"/>
        </w:rPr>
      </w:pPr>
      <w:r>
        <w:rPr>
          <w:rFonts w:ascii="SimHei" w:hAnsi="SimHei" w:eastAsia="SimHei" w:cs="SimHei"/>
          <w:sz w:val="60"/>
          <w:szCs w:val="60"/>
          <w:spacing w:val="-15"/>
        </w:rPr>
        <w:t>四</w:t>
      </w:r>
      <w:r>
        <w:rPr>
          <w:rFonts w:ascii="SimHei" w:hAnsi="SimHei" w:eastAsia="SimHei" w:cs="SimHei"/>
          <w:sz w:val="60"/>
          <w:szCs w:val="60"/>
          <w:spacing w:val="-135"/>
        </w:rPr>
        <w:t xml:space="preserve"> </w:t>
      </w:r>
      <w:r>
        <w:rPr>
          <w:rFonts w:ascii="SimHei" w:hAnsi="SimHei" w:eastAsia="SimHei" w:cs="SimHei"/>
          <w:sz w:val="60"/>
          <w:szCs w:val="60"/>
          <w:spacing w:val="-15"/>
        </w:rPr>
        <w:t>、推荐名额分配原则</w:t>
      </w:r>
    </w:p>
    <w:p>
      <w:pPr>
        <w:ind w:right="102" w:firstLine="1283"/>
        <w:spacing w:before="221" w:line="314" w:lineRule="auto"/>
        <w:jc w:val="both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2"/>
          <w:szCs w:val="62"/>
          <w:spacing w:val="-7"/>
        </w:rPr>
        <w:t>学校推免生遴选工作领导小组根据教育部下达</w:t>
      </w:r>
      <w:r>
        <w:rPr>
          <w:rFonts w:ascii="FangSong" w:hAnsi="FangSong" w:eastAsia="FangSong" w:cs="FangSong"/>
          <w:sz w:val="62"/>
          <w:szCs w:val="62"/>
          <w:spacing w:val="-8"/>
        </w:rPr>
        <w:t>的推免生名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7"/>
        </w:rPr>
        <w:t>额及最新文件精神，综合考虑各学院应届本科毕业生人数、考研</w:t>
      </w:r>
      <w:r>
        <w:rPr>
          <w:rFonts w:ascii="FangSong" w:hAnsi="FangSong" w:eastAsia="FangSong" w:cs="FangSong"/>
          <w:sz w:val="62"/>
          <w:szCs w:val="62"/>
          <w:spacing w:val="14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31"/>
        </w:rPr>
        <w:t>升学率、学科专业建设和上一年度推免工作实施情况等因素，确</w:t>
      </w:r>
      <w:r>
        <w:rPr>
          <w:rFonts w:ascii="FangSong" w:hAnsi="FangSong" w:eastAsia="FangSong" w:cs="FangSong"/>
          <w:sz w:val="62"/>
          <w:szCs w:val="62"/>
          <w:spacing w:val="1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30"/>
        </w:rPr>
        <w:t>定各学院推免生推荐名额分配数。推免名额增量重点向国家战略</w:t>
      </w:r>
      <w:r>
        <w:rPr>
          <w:rFonts w:ascii="FangSong" w:hAnsi="FangSong" w:eastAsia="FangSong" w:cs="FangSong"/>
          <w:sz w:val="62"/>
          <w:szCs w:val="62"/>
          <w:spacing w:val="17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9"/>
        </w:rPr>
        <w:t>发展急需学科及学校优势重点学科倾斜。其中</w:t>
      </w:r>
      <w:r>
        <w:rPr>
          <w:rFonts w:ascii="FangSong" w:hAnsi="FangSong" w:eastAsia="FangSong" w:cs="FangSong"/>
          <w:sz w:val="62"/>
          <w:szCs w:val="62"/>
          <w:spacing w:val="-30"/>
        </w:rPr>
        <w:t>，本校本硕博一体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6"/>
        </w:rPr>
        <w:t>化人才培养专项推免生名额不低于总名额的20%,由研究生院制</w:t>
      </w:r>
      <w:r>
        <w:rPr>
          <w:rFonts w:ascii="FangSong" w:hAnsi="FangSong" w:eastAsia="FangSong" w:cs="FangSong"/>
          <w:sz w:val="62"/>
          <w:szCs w:val="62"/>
          <w:spacing w:val="11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4"/>
        </w:rPr>
        <w:t>订相关实施办法。</w:t>
      </w:r>
    </w:p>
    <w:p>
      <w:pPr>
        <w:ind w:right="83" w:firstLine="1230"/>
        <w:spacing w:before="7" w:line="327" w:lineRule="auto"/>
        <w:jc w:val="both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-8"/>
        </w:rPr>
        <w:t>“支教团”推免生名额为团中央单列专项计划，由校团委牵</w:t>
      </w:r>
      <w:r>
        <w:rPr>
          <w:rFonts w:ascii="FangSong" w:hAnsi="FangSong" w:eastAsia="FangSong" w:cs="FangSong"/>
          <w:sz w:val="60"/>
          <w:szCs w:val="60"/>
          <w:spacing w:val="15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9"/>
        </w:rPr>
        <w:t>头根据上级下达的专项计划名额，在全校范围</w:t>
      </w:r>
      <w:r>
        <w:rPr>
          <w:rFonts w:ascii="FangSong" w:hAnsi="FangSong" w:eastAsia="FangSong" w:cs="FangSong"/>
          <w:sz w:val="60"/>
          <w:szCs w:val="60"/>
          <w:spacing w:val="-10"/>
        </w:rPr>
        <w:t>内开展推荐遴选工</w:t>
      </w:r>
      <w:r>
        <w:rPr>
          <w:rFonts w:ascii="FangSong" w:hAnsi="FangSong" w:eastAsia="FangSong" w:cs="FangSong"/>
          <w:sz w:val="60"/>
          <w:szCs w:val="60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27"/>
        </w:rPr>
        <w:t>作。</w:t>
      </w:r>
    </w:p>
    <w:p>
      <w:pPr>
        <w:ind w:left="1189"/>
        <w:spacing w:line="224" w:lineRule="auto"/>
        <w:rPr>
          <w:rFonts w:ascii="SimHei" w:hAnsi="SimHei" w:eastAsia="SimHei" w:cs="SimHei"/>
          <w:sz w:val="56"/>
          <w:szCs w:val="56"/>
        </w:rPr>
      </w:pPr>
      <w:r>
        <w:rPr>
          <w:rFonts w:ascii="SimHei" w:hAnsi="SimHei" w:eastAsia="SimHei" w:cs="SimHei"/>
          <w:sz w:val="56"/>
          <w:szCs w:val="56"/>
          <w:spacing w:val="19"/>
        </w:rPr>
        <w:t>五</w:t>
      </w:r>
      <w:r>
        <w:rPr>
          <w:rFonts w:ascii="SimHei" w:hAnsi="SimHei" w:eastAsia="SimHei" w:cs="SimHei"/>
          <w:sz w:val="56"/>
          <w:szCs w:val="56"/>
          <w:spacing w:val="-129"/>
        </w:rPr>
        <w:t xml:space="preserve"> </w:t>
      </w:r>
      <w:r>
        <w:rPr>
          <w:rFonts w:ascii="SimHei" w:hAnsi="SimHei" w:eastAsia="SimHei" w:cs="SimHei"/>
          <w:sz w:val="56"/>
          <w:szCs w:val="56"/>
          <w:spacing w:val="19"/>
        </w:rPr>
        <w:t>、推荐条件</w:t>
      </w:r>
    </w:p>
    <w:p>
      <w:pPr>
        <w:ind w:left="1378"/>
        <w:spacing w:before="412" w:line="223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42"/>
        </w:rPr>
        <w:t>(</w:t>
      </w:r>
      <w:r>
        <w:rPr>
          <w:rFonts w:ascii="FangSong" w:hAnsi="FangSong" w:eastAsia="FangSong" w:cs="FangSong"/>
          <w:sz w:val="60"/>
          <w:szCs w:val="60"/>
          <w:spacing w:val="-156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42"/>
        </w:rPr>
        <w:t>一)基本条件</w:t>
      </w:r>
    </w:p>
    <w:p>
      <w:pPr>
        <w:ind w:left="1189"/>
        <w:spacing w:before="235" w:line="222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Times New Roman" w:hAnsi="Times New Roman" w:eastAsia="Times New Roman" w:cs="Times New Roman"/>
          <w:sz w:val="60"/>
          <w:szCs w:val="60"/>
          <w:spacing w:val="11"/>
        </w:rPr>
        <w:t>1.</w:t>
      </w:r>
      <w:r>
        <w:rPr>
          <w:rFonts w:ascii="Times New Roman" w:hAnsi="Times New Roman" w:eastAsia="Times New Roman" w:cs="Times New Roman"/>
          <w:sz w:val="60"/>
          <w:szCs w:val="60"/>
          <w:spacing w:val="70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11"/>
        </w:rPr>
        <w:t>必须是纳入国家普通本科招生计划录取的本校应届本科</w:t>
      </w:r>
    </w:p>
    <w:p>
      <w:pPr>
        <w:spacing w:line="222" w:lineRule="auto"/>
        <w:sectPr>
          <w:footerReference w:type="default" r:id="rId5"/>
          <w:pgSz w:w="22222" w:h="31680"/>
          <w:pgMar w:top="2692" w:right="2882" w:bottom="2561" w:left="2617" w:header="0" w:footer="2222" w:gutter="0"/>
        </w:sectPr>
        <w:rPr>
          <w:rFonts w:ascii="FangSong" w:hAnsi="FangSong" w:eastAsia="FangSong" w:cs="FangSong"/>
          <w:sz w:val="60"/>
          <w:szCs w:val="60"/>
        </w:rPr>
      </w:pPr>
    </w:p>
    <w:p>
      <w:pPr>
        <w:spacing w:before="165" w:line="222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7"/>
        </w:rPr>
        <w:t>毕业生(不含专升本、第二学士学位、独立学院学生)。</w:t>
      </w:r>
    </w:p>
    <w:p>
      <w:pPr>
        <w:ind w:left="207" w:right="174" w:firstLine="1072"/>
        <w:spacing w:before="341" w:line="274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Times New Roman" w:hAnsi="Times New Roman" w:eastAsia="Times New Roman" w:cs="Times New Roman"/>
          <w:sz w:val="60"/>
          <w:szCs w:val="60"/>
          <w:spacing w:val="-8"/>
        </w:rPr>
        <w:t>2. </w:t>
      </w:r>
      <w:r>
        <w:rPr>
          <w:rFonts w:ascii="FangSong" w:hAnsi="FangSong" w:eastAsia="FangSong" w:cs="FangSong"/>
          <w:sz w:val="60"/>
          <w:szCs w:val="60"/>
          <w:spacing w:val="-8"/>
        </w:rPr>
        <w:t>具有高尚的爱国主义情操和集体主义精神，社</w:t>
      </w:r>
      <w:r>
        <w:rPr>
          <w:rFonts w:ascii="FangSong" w:hAnsi="FangSong" w:eastAsia="FangSong" w:cs="FangSong"/>
          <w:sz w:val="60"/>
          <w:szCs w:val="60"/>
          <w:spacing w:val="-9"/>
        </w:rPr>
        <w:t>会主义信念</w:t>
      </w:r>
      <w:r>
        <w:rPr>
          <w:rFonts w:ascii="FangSong" w:hAnsi="FangSong" w:eastAsia="FangSong" w:cs="FangSong"/>
          <w:sz w:val="60"/>
          <w:szCs w:val="60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9"/>
        </w:rPr>
        <w:t>坚定，社会责任感强，遵纪守法，积极向上，身心健康。</w:t>
      </w:r>
    </w:p>
    <w:p>
      <w:pPr>
        <w:ind w:right="191" w:firstLine="1279"/>
        <w:spacing w:before="371" w:line="270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Times New Roman" w:hAnsi="Times New Roman" w:eastAsia="Times New Roman" w:cs="Times New Roman"/>
          <w:sz w:val="60"/>
          <w:szCs w:val="60"/>
          <w:spacing w:val="-9"/>
        </w:rPr>
        <w:t>3. </w:t>
      </w:r>
      <w:r>
        <w:rPr>
          <w:rFonts w:ascii="FangSong" w:hAnsi="FangSong" w:eastAsia="FangSong" w:cs="FangSong"/>
          <w:sz w:val="60"/>
          <w:szCs w:val="60"/>
          <w:spacing w:val="-9"/>
        </w:rPr>
        <w:t>勤奋学习，刻苦钻研，成绩优秀。学术研究兴趣浓厚，有</w:t>
      </w:r>
      <w:r>
        <w:rPr>
          <w:rFonts w:ascii="FangSong" w:hAnsi="FangSong" w:eastAsia="FangSong" w:cs="FangSong"/>
          <w:sz w:val="60"/>
          <w:szCs w:val="60"/>
          <w:spacing w:val="6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9"/>
        </w:rPr>
        <w:t>较强的创新意识、创新能力和科研潜质。</w:t>
      </w:r>
    </w:p>
    <w:p>
      <w:pPr>
        <w:ind w:right="151" w:firstLine="1279"/>
        <w:spacing w:before="286" w:line="281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Times New Roman" w:hAnsi="Times New Roman" w:eastAsia="Times New Roman" w:cs="Times New Roman"/>
          <w:sz w:val="60"/>
          <w:szCs w:val="60"/>
          <w:spacing w:val="-8"/>
        </w:rPr>
        <w:t>4. </w:t>
      </w:r>
      <w:r>
        <w:rPr>
          <w:rFonts w:ascii="FangSong" w:hAnsi="FangSong" w:eastAsia="FangSong" w:cs="FangSong"/>
          <w:sz w:val="60"/>
          <w:szCs w:val="60"/>
          <w:spacing w:val="-8"/>
        </w:rPr>
        <w:t>诚实守信，学风端正，品行表现优良，无任何考试作弊和</w:t>
      </w:r>
      <w:r>
        <w:rPr>
          <w:rFonts w:ascii="FangSong" w:hAnsi="FangSong" w:eastAsia="FangSong" w:cs="FangSong"/>
          <w:sz w:val="60"/>
          <w:szCs w:val="60"/>
          <w:spacing w:val="18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5"/>
        </w:rPr>
        <w:t>剽窃他人学术成果记录，无任何违法违纪受处分记录。</w:t>
      </w:r>
    </w:p>
    <w:p>
      <w:pPr>
        <w:ind w:left="1279"/>
        <w:spacing w:before="328" w:line="222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Times New Roman" w:hAnsi="Times New Roman" w:eastAsia="Times New Roman" w:cs="Times New Roman"/>
          <w:sz w:val="60"/>
          <w:szCs w:val="60"/>
          <w:spacing w:val="-6"/>
        </w:rPr>
        <w:t>5. </w:t>
      </w:r>
      <w:r>
        <w:rPr>
          <w:rFonts w:ascii="FangSong" w:hAnsi="FangSong" w:eastAsia="FangSong" w:cs="FangSong"/>
          <w:sz w:val="60"/>
          <w:szCs w:val="60"/>
          <w:spacing w:val="-6"/>
        </w:rPr>
        <w:t>毕业时必须获得学士学位。</w:t>
      </w:r>
    </w:p>
    <w:p>
      <w:pPr>
        <w:ind w:left="1468"/>
        <w:spacing w:before="420" w:line="223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57"/>
        </w:rPr>
        <w:t>(二)资格条件</w:t>
      </w:r>
    </w:p>
    <w:p>
      <w:pPr>
        <w:spacing w:before="229" w:line="221" w:lineRule="auto"/>
        <w:jc w:val="right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2"/>
          <w:szCs w:val="62"/>
          <w:spacing w:val="-22"/>
        </w:rPr>
        <w:t>推免生除符合基本条件外，还应符合相应类型的资格</w:t>
      </w:r>
      <w:r>
        <w:rPr>
          <w:rFonts w:ascii="FangSong" w:hAnsi="FangSong" w:eastAsia="FangSong" w:cs="FangSong"/>
          <w:sz w:val="62"/>
          <w:szCs w:val="62"/>
          <w:spacing w:val="-23"/>
        </w:rPr>
        <w:t>条件。</w:t>
      </w:r>
    </w:p>
    <w:p>
      <w:pPr>
        <w:ind w:left="1279"/>
        <w:spacing w:before="411" w:line="223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Times New Roman" w:hAnsi="Times New Roman" w:eastAsia="Times New Roman" w:cs="Times New Roman"/>
          <w:sz w:val="60"/>
          <w:szCs w:val="60"/>
          <w:spacing w:val="-13"/>
        </w:rPr>
        <w:t>1.</w:t>
      </w:r>
      <w:r>
        <w:rPr>
          <w:rFonts w:ascii="Times New Roman" w:hAnsi="Times New Roman" w:eastAsia="Times New Roman" w:cs="Times New Roman"/>
          <w:sz w:val="60"/>
          <w:szCs w:val="60"/>
          <w:spacing w:val="53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13"/>
        </w:rPr>
        <w:t>普通推免生</w:t>
      </w:r>
    </w:p>
    <w:p>
      <w:pPr>
        <w:ind w:right="206" w:firstLine="1468"/>
        <w:spacing w:before="235" w:line="291" w:lineRule="auto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2"/>
          <w:szCs w:val="62"/>
          <w:spacing w:val="7"/>
        </w:rPr>
        <w:t>(1)普通专业学生的大学英语四级成绩在500分及以上，</w:t>
      </w:r>
      <w:r>
        <w:rPr>
          <w:rFonts w:ascii="FangSong" w:hAnsi="FangSong" w:eastAsia="FangSong" w:cs="FangSong"/>
          <w:sz w:val="62"/>
          <w:szCs w:val="62"/>
          <w:spacing w:val="3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15"/>
        </w:rPr>
        <w:t>或六级成绩在426分及以上；英语专业学生的专业英语四级考试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5"/>
        </w:rPr>
        <w:t>成绩须为良好及以上；艺术类专业学生的大学英语四级成绩在</w:t>
      </w:r>
      <w:r>
        <w:rPr>
          <w:rFonts w:ascii="FangSong" w:hAnsi="FangSong" w:eastAsia="FangSong" w:cs="FangSong"/>
          <w:sz w:val="62"/>
          <w:szCs w:val="62"/>
          <w:spacing w:val="14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15"/>
        </w:rPr>
        <w:t>426分及以上；其他语种参照相对等的水平要求。</w:t>
      </w:r>
    </w:p>
    <w:p>
      <w:pPr>
        <w:ind w:right="160" w:firstLine="1468"/>
        <w:spacing w:before="335" w:line="295" w:lineRule="auto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2"/>
          <w:szCs w:val="62"/>
        </w:rPr>
        <w:t>(2)截至第六学期，须完成本专业培养方案中课程性质为</w:t>
      </w:r>
      <w:r>
        <w:rPr>
          <w:rFonts w:ascii="FangSong" w:hAnsi="FangSong" w:eastAsia="FangSong" w:cs="FangSong"/>
          <w:sz w:val="62"/>
          <w:szCs w:val="62"/>
          <w:spacing w:val="6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7"/>
        </w:rPr>
        <w:t>必修的课内课程且无不及格记录，同时前六学期所修全部课内课</w:t>
      </w:r>
      <w:r>
        <w:rPr>
          <w:rFonts w:ascii="FangSong" w:hAnsi="FangSong" w:eastAsia="FangSong" w:cs="FangSong"/>
          <w:sz w:val="62"/>
          <w:szCs w:val="62"/>
          <w:spacing w:val="6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5"/>
        </w:rPr>
        <w:t>程平均学分绩点注</w:t>
      </w:r>
      <w:r>
        <w:rPr>
          <w:rFonts w:ascii="SimSun" w:hAnsi="SimSun" w:eastAsia="SimSun" w:cs="SimSun"/>
          <w:sz w:val="62"/>
          <w:szCs w:val="62"/>
          <w:spacing w:val="-25"/>
        </w:rPr>
        <w:t>¹</w:t>
      </w:r>
      <w:r>
        <w:rPr>
          <w:rFonts w:ascii="FangSong" w:hAnsi="FangSong" w:eastAsia="FangSong" w:cs="FangSong"/>
          <w:sz w:val="62"/>
          <w:szCs w:val="62"/>
          <w:spacing w:val="-25"/>
        </w:rPr>
        <w:t>位列专业前20%。</w:t>
      </w:r>
    </w:p>
    <w:p>
      <w:pPr>
        <w:ind w:right="113" w:firstLine="1184"/>
        <w:spacing w:before="247" w:line="340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-3"/>
        </w:rPr>
        <w:t>注1:本文所指的平均学分绩点均按学校本科学生学籍管理规</w:t>
      </w:r>
      <w:r>
        <w:rPr>
          <w:rFonts w:ascii="FangSong" w:hAnsi="FangSong" w:eastAsia="FangSong" w:cs="FangSong"/>
          <w:sz w:val="60"/>
          <w:szCs w:val="60"/>
          <w:spacing w:val="8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19"/>
        </w:rPr>
        <w:t>定中的要求计算。</w:t>
      </w:r>
    </w:p>
    <w:p>
      <w:pPr>
        <w:ind w:left="1166"/>
        <w:spacing w:before="2" w:line="222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Times New Roman" w:hAnsi="Times New Roman" w:eastAsia="Times New Roman" w:cs="Times New Roman"/>
          <w:sz w:val="60"/>
          <w:szCs w:val="60"/>
          <w:spacing w:val="2"/>
        </w:rPr>
        <w:t>2. </w:t>
      </w:r>
      <w:r>
        <w:rPr>
          <w:rFonts w:ascii="FangSong" w:hAnsi="FangSong" w:eastAsia="FangSong" w:cs="FangSong"/>
          <w:sz w:val="60"/>
          <w:szCs w:val="60"/>
          <w:spacing w:val="2"/>
        </w:rPr>
        <w:t>有特殊学术专长的推免生</w:t>
      </w:r>
    </w:p>
    <w:p>
      <w:pPr>
        <w:ind w:right="187" w:firstLine="1410"/>
        <w:spacing w:before="206" w:line="327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26"/>
        </w:rPr>
        <w:t>(1)普通专业学生的大学英语四级成绩在426分及以上；</w:t>
      </w:r>
      <w:r>
        <w:rPr>
          <w:rFonts w:ascii="FangSong" w:hAnsi="FangSong" w:eastAsia="FangSong" w:cs="FangSong"/>
          <w:sz w:val="60"/>
          <w:szCs w:val="60"/>
          <w:spacing w:val="18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6"/>
        </w:rPr>
        <w:t>英语专业学生的专业英语四级考试成绩须合格及以上；其他语种</w:t>
      </w:r>
      <w:r>
        <w:rPr>
          <w:rFonts w:ascii="FangSong" w:hAnsi="FangSong" w:eastAsia="FangSong" w:cs="FangSong"/>
          <w:sz w:val="60"/>
          <w:szCs w:val="60"/>
          <w:spacing w:val="6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5"/>
        </w:rPr>
        <w:t>参照相对等的水平要求。</w:t>
      </w:r>
    </w:p>
    <w:p>
      <w:pPr>
        <w:spacing w:line="327" w:lineRule="auto"/>
        <w:sectPr>
          <w:footerReference w:type="default" r:id="rId6"/>
          <w:pgSz w:w="22139" w:h="31680"/>
          <w:pgMar w:top="2692" w:right="2671" w:bottom="2387" w:left="2639" w:header="0" w:footer="2132" w:gutter="0"/>
        </w:sectPr>
        <w:rPr>
          <w:rFonts w:ascii="FangSong" w:hAnsi="FangSong" w:eastAsia="FangSong" w:cs="FangSong"/>
          <w:sz w:val="60"/>
          <w:szCs w:val="60"/>
        </w:rPr>
      </w:pPr>
    </w:p>
    <w:p>
      <w:pPr>
        <w:ind w:right="127" w:firstLine="1619"/>
        <w:spacing w:before="180" w:line="288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11"/>
        </w:rPr>
        <w:t>(2)截至第六学期，须完成本专业培养方案中课程性质为</w:t>
      </w:r>
      <w:r>
        <w:rPr>
          <w:rFonts w:ascii="FangSong" w:hAnsi="FangSong" w:eastAsia="FangSong" w:cs="FangSong"/>
          <w:sz w:val="60"/>
          <w:szCs w:val="60"/>
          <w:spacing w:val="18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13"/>
        </w:rPr>
        <w:t>必修的课内课程且无不及格记录，同时前六学期所修全部课内课</w:t>
      </w:r>
      <w:r>
        <w:rPr>
          <w:rFonts w:ascii="FangSong" w:hAnsi="FangSong" w:eastAsia="FangSong" w:cs="FangSong"/>
          <w:sz w:val="60"/>
          <w:szCs w:val="60"/>
          <w:spacing w:val="5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5"/>
        </w:rPr>
        <w:t>程平均学分绩点位列专业前50%。</w:t>
      </w:r>
    </w:p>
    <w:p>
      <w:pPr>
        <w:ind w:left="1583"/>
        <w:spacing w:before="363" w:line="221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-2"/>
        </w:rPr>
        <w:t>(3)须获得以下标志性高水平创新成果注</w:t>
      </w:r>
      <w:r>
        <w:rPr>
          <w:rFonts w:ascii="SimSun" w:hAnsi="SimSun" w:eastAsia="SimSun" w:cs="SimSun"/>
          <w:sz w:val="60"/>
          <w:szCs w:val="60"/>
          <w:spacing w:val="-2"/>
        </w:rPr>
        <w:t>²</w:t>
      </w:r>
      <w:r>
        <w:rPr>
          <w:rFonts w:ascii="FangSong" w:hAnsi="FangSong" w:eastAsia="FangSong" w:cs="FangSong"/>
          <w:sz w:val="60"/>
          <w:szCs w:val="60"/>
          <w:spacing w:val="-3"/>
        </w:rPr>
        <w:t>之一：</w:t>
      </w:r>
    </w:p>
    <w:p>
      <w:pPr>
        <w:ind w:right="183" w:firstLine="1319"/>
        <w:spacing w:before="299" w:line="324" w:lineRule="auto"/>
        <w:jc w:val="both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9"/>
        </w:rPr>
        <w:t>学校认定且代表学校参加的学科竞赛获奖注</w:t>
      </w:r>
      <w:r>
        <w:rPr>
          <w:rFonts w:ascii="SimSun" w:hAnsi="SimSun" w:eastAsia="SimSun" w:cs="SimSun"/>
          <w:sz w:val="60"/>
          <w:szCs w:val="60"/>
          <w:spacing w:val="9"/>
        </w:rPr>
        <w:t>³</w:t>
      </w:r>
      <w:r>
        <w:rPr>
          <w:rFonts w:ascii="FangSong" w:hAnsi="FangSong" w:eastAsia="FangSong" w:cs="FangSong"/>
          <w:sz w:val="60"/>
          <w:szCs w:val="60"/>
          <w:spacing w:val="9"/>
        </w:rPr>
        <w:t>(以团队获奖</w:t>
      </w:r>
      <w:r>
        <w:rPr>
          <w:rFonts w:ascii="FangSong" w:hAnsi="FangSong" w:eastAsia="FangSong" w:cs="FangSong"/>
          <w:sz w:val="60"/>
          <w:szCs w:val="60"/>
          <w:spacing w:val="13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10"/>
        </w:rPr>
        <w:t>的，排序前三名的可以申请);或以第一作者获得国家发明专利</w:t>
      </w:r>
      <w:r>
        <w:rPr>
          <w:rFonts w:ascii="FangSong" w:hAnsi="FangSong" w:eastAsia="FangSong" w:cs="FangSong"/>
          <w:sz w:val="60"/>
          <w:szCs w:val="60"/>
          <w:spacing w:val="7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12"/>
        </w:rPr>
        <w:t>或国防发明专利授权；或以第一作者在学校认定的一级期刊及以</w:t>
      </w:r>
      <w:r>
        <w:rPr>
          <w:rFonts w:ascii="FangSong" w:hAnsi="FangSong" w:eastAsia="FangSong" w:cs="FangSong"/>
          <w:sz w:val="60"/>
          <w:szCs w:val="60"/>
          <w:spacing w:val="9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20"/>
        </w:rPr>
        <w:t>上级别学术期刊注</w:t>
      </w:r>
      <w:r>
        <w:rPr>
          <w:rFonts w:ascii="Calibri" w:hAnsi="Calibri" w:eastAsia="Calibri" w:cs="Calibri"/>
          <w:sz w:val="60"/>
          <w:szCs w:val="60"/>
          <w:spacing w:val="-20"/>
        </w:rPr>
        <w:t>⁴</w:t>
      </w:r>
      <w:r>
        <w:rPr>
          <w:rFonts w:ascii="FangSong" w:hAnsi="FangSong" w:eastAsia="FangSong" w:cs="FangSong"/>
          <w:sz w:val="60"/>
          <w:szCs w:val="60"/>
          <w:spacing w:val="-20"/>
        </w:rPr>
        <w:t>发表学术论文；或以第一作者在学校认定的出</w:t>
      </w:r>
      <w:r>
        <w:rPr>
          <w:rFonts w:ascii="FangSong" w:hAnsi="FangSong" w:eastAsia="FangSong" w:cs="FangSong"/>
          <w:sz w:val="60"/>
          <w:szCs w:val="60"/>
          <w:spacing w:val="14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12"/>
        </w:rPr>
        <w:t>版社注4出版学术专著;或为其他经推免生遴选工作</w:t>
      </w:r>
      <w:r>
        <w:rPr>
          <w:rFonts w:ascii="FangSong" w:hAnsi="FangSong" w:eastAsia="FangSong" w:cs="FangSong"/>
          <w:sz w:val="60"/>
          <w:szCs w:val="60"/>
          <w:spacing w:val="-13"/>
        </w:rPr>
        <w:t>领导小组审定</w:t>
      </w:r>
      <w:r>
        <w:rPr>
          <w:rFonts w:ascii="FangSong" w:hAnsi="FangSong" w:eastAsia="FangSong" w:cs="FangSong"/>
          <w:sz w:val="60"/>
          <w:szCs w:val="60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12"/>
        </w:rPr>
        <w:t>的高水平创新成果的第一获得者。</w:t>
      </w:r>
    </w:p>
    <w:p>
      <w:pPr>
        <w:ind w:right="151" w:firstLine="1507"/>
        <w:spacing w:before="5" w:line="324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15"/>
        </w:rPr>
        <w:t>(4)须经三名本校本学科教授联名推荐，学生申请材料和</w:t>
      </w:r>
      <w:r>
        <w:rPr>
          <w:rFonts w:ascii="FangSong" w:hAnsi="FangSong" w:eastAsia="FangSong" w:cs="FangSong"/>
          <w:sz w:val="60"/>
          <w:szCs w:val="60"/>
          <w:spacing w:val="2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39"/>
        </w:rPr>
        <w:t>教授推荐信须公示(公示期至少3天)。</w:t>
      </w:r>
    </w:p>
    <w:p>
      <w:pPr>
        <w:ind w:right="84" w:firstLine="1243"/>
        <w:spacing w:before="4" w:line="320" w:lineRule="auto"/>
        <w:jc w:val="both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12"/>
        </w:rPr>
        <w:t>注2:相关成果须与申请专业相关，获得成果时间截止当年</w:t>
      </w:r>
      <w:r>
        <w:rPr>
          <w:rFonts w:ascii="FangSong" w:hAnsi="FangSong" w:eastAsia="FangSong" w:cs="FangSong"/>
          <w:sz w:val="60"/>
          <w:szCs w:val="60"/>
          <w:spacing w:val="18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43"/>
        </w:rPr>
        <w:t>8月31日(含)之前，学科竞赛应有获奖证书或主办单位</w:t>
      </w:r>
      <w:r>
        <w:rPr>
          <w:rFonts w:ascii="FangSong" w:hAnsi="FangSong" w:eastAsia="FangSong" w:cs="FangSong"/>
          <w:sz w:val="60"/>
          <w:szCs w:val="60"/>
          <w:spacing w:val="42"/>
        </w:rPr>
        <w:t>正式</w:t>
      </w:r>
      <w:r>
        <w:rPr>
          <w:rFonts w:ascii="FangSong" w:hAnsi="FangSong" w:eastAsia="FangSong" w:cs="FangSong"/>
          <w:sz w:val="60"/>
          <w:szCs w:val="60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26"/>
        </w:rPr>
        <w:t>发文，论文为公开发表，专著为正式出版，专利授权须有授权书。</w:t>
      </w:r>
    </w:p>
    <w:p>
      <w:pPr>
        <w:ind w:firstLine="1225"/>
        <w:spacing w:before="15" w:line="309" w:lineRule="auto"/>
        <w:jc w:val="both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2"/>
          <w:szCs w:val="62"/>
          <w:spacing w:val="-7"/>
        </w:rPr>
        <w:t>注3:学校认定学科竞赛及获奖等级：在全国大学生数</w:t>
      </w:r>
      <w:r>
        <w:rPr>
          <w:rFonts w:ascii="FangSong" w:hAnsi="FangSong" w:eastAsia="FangSong" w:cs="FangSong"/>
          <w:sz w:val="62"/>
          <w:szCs w:val="62"/>
          <w:spacing w:val="-8"/>
        </w:rPr>
        <w:t>学建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9"/>
        </w:rPr>
        <w:t>模竞赛、全国大学生电子设计竞赛及其专题邀请赛、全国大学生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30"/>
        </w:rPr>
        <w:t>智能汽车竞赛、全国大学生机械创新设计竞赛、全国大学生电子</w:t>
      </w:r>
      <w:r>
        <w:rPr>
          <w:rFonts w:ascii="FangSong" w:hAnsi="FangSong" w:eastAsia="FangSong" w:cs="FangSong"/>
          <w:sz w:val="62"/>
          <w:szCs w:val="62"/>
          <w:spacing w:val="17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32"/>
        </w:rPr>
        <w:t>商务“创新、创意及创业”挑战赛、中国大学生服务外包创新创</w:t>
      </w:r>
      <w:r>
        <w:rPr>
          <w:rFonts w:ascii="FangSong" w:hAnsi="FangSong" w:eastAsia="FangSong" w:cs="FangSong"/>
          <w:sz w:val="62"/>
          <w:szCs w:val="62"/>
          <w:spacing w:val="14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31"/>
        </w:rPr>
        <w:t>业大赛、全国大学生英语演讲大赛、全国大学生广告艺术大赛中</w:t>
      </w:r>
      <w:r>
        <w:rPr>
          <w:rFonts w:ascii="FangSong" w:hAnsi="FangSong" w:eastAsia="FangSong" w:cs="FangSong"/>
          <w:sz w:val="62"/>
          <w:szCs w:val="62"/>
          <w:spacing w:val="7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30"/>
        </w:rPr>
        <w:t>获得一等奖及以上；“挑战杯”全国大学生课外学术科技作品竞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43"/>
        </w:rPr>
        <w:t>赛中获得二等奖及以上；在“挑战杯”全国大学生创业计划竞赛、</w:t>
      </w:r>
      <w:r>
        <w:rPr>
          <w:rFonts w:ascii="FangSong" w:hAnsi="FangSong" w:eastAsia="FangSong" w:cs="FangSong"/>
          <w:sz w:val="62"/>
          <w:szCs w:val="62"/>
          <w:spacing w:val="18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1"/>
        </w:rPr>
        <w:t>中国“互联网+”大学生创新创业大赛中获得银奖及以上；在国</w:t>
      </w:r>
      <w:r>
        <w:rPr>
          <w:rFonts w:ascii="FangSong" w:hAnsi="FangSong" w:eastAsia="FangSong" w:cs="FangSong"/>
          <w:sz w:val="62"/>
          <w:szCs w:val="62"/>
          <w:spacing w:val="18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32"/>
        </w:rPr>
        <w:t>际大学生程序设计竞赛亚洲区域赛获得金牌及以上等，由教务处</w:t>
      </w:r>
    </w:p>
    <w:p>
      <w:pPr>
        <w:spacing w:line="309" w:lineRule="auto"/>
        <w:sectPr>
          <w:footerReference w:type="default" r:id="rId7"/>
          <w:pgSz w:w="22303" w:h="31680"/>
          <w:pgMar w:top="2692" w:right="2892" w:bottom="2515" w:left="2657" w:header="0" w:footer="2261" w:gutter="0"/>
        </w:sectPr>
        <w:rPr>
          <w:rFonts w:ascii="FangSong" w:hAnsi="FangSong" w:eastAsia="FangSong" w:cs="FangSong"/>
          <w:sz w:val="62"/>
          <w:szCs w:val="62"/>
        </w:rPr>
      </w:pPr>
    </w:p>
    <w:p>
      <w:pPr>
        <w:spacing w:before="232" w:line="225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-25"/>
        </w:rPr>
        <w:t>负责认定。</w:t>
      </w:r>
    </w:p>
    <w:p>
      <w:pPr>
        <w:ind w:right="178" w:firstLine="1335"/>
        <w:spacing w:before="241" w:line="334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14"/>
        </w:rPr>
        <w:t>注4:学校认定的期刊和出版社以及级别，以学校科学技术</w:t>
      </w:r>
      <w:r>
        <w:rPr>
          <w:rFonts w:ascii="FangSong" w:hAnsi="FangSong" w:eastAsia="FangSong" w:cs="FangSong"/>
          <w:sz w:val="60"/>
          <w:szCs w:val="60"/>
          <w:spacing w:val="7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6"/>
        </w:rPr>
        <w:t>研究院最新规定为准。</w:t>
      </w:r>
    </w:p>
    <w:p>
      <w:pPr>
        <w:ind w:left="1637"/>
        <w:spacing w:before="2" w:line="223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-2"/>
        </w:rPr>
        <w:t>3.“支教团”专项推免生</w:t>
      </w:r>
    </w:p>
    <w:p>
      <w:pPr>
        <w:ind w:right="266" w:firstLine="1542"/>
        <w:spacing w:before="282" w:line="296" w:lineRule="auto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2"/>
          <w:szCs w:val="62"/>
          <w:spacing w:val="7"/>
        </w:rPr>
        <w:t>(1)普通专业学生的大学英语四级成绩在500分及以上，</w:t>
      </w:r>
      <w:r>
        <w:rPr>
          <w:rFonts w:ascii="FangSong" w:hAnsi="FangSong" w:eastAsia="FangSong" w:cs="FangSong"/>
          <w:sz w:val="62"/>
          <w:szCs w:val="62"/>
          <w:spacing w:val="6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15"/>
        </w:rPr>
        <w:t>或六级成绩在426分及以上；英语专业学生的专业英语四级考试</w:t>
      </w:r>
      <w:r>
        <w:rPr>
          <w:rFonts w:ascii="FangSong" w:hAnsi="FangSong" w:eastAsia="FangSong" w:cs="FangSong"/>
          <w:sz w:val="62"/>
          <w:szCs w:val="62"/>
          <w:spacing w:val="1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15"/>
        </w:rPr>
        <w:t>成绩须良好及以上；艺术类专业学生的大学英语</w:t>
      </w:r>
      <w:r>
        <w:rPr>
          <w:rFonts w:ascii="FangSong" w:hAnsi="FangSong" w:eastAsia="FangSong" w:cs="FangSong"/>
          <w:sz w:val="62"/>
          <w:szCs w:val="62"/>
          <w:spacing w:val="-16"/>
        </w:rPr>
        <w:t>四级成绩在426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3"/>
        </w:rPr>
        <w:t>分及以上；其他语种参照相对等的水平要求。</w:t>
      </w:r>
    </w:p>
    <w:p>
      <w:pPr>
        <w:ind w:right="165" w:firstLine="1542"/>
        <w:spacing w:before="365" w:line="284" w:lineRule="auto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2"/>
          <w:szCs w:val="62"/>
          <w:spacing w:val="-1"/>
        </w:rPr>
        <w:t>(2)截至第六学期，须完成本专业培养方案中课程性质为</w:t>
      </w:r>
      <w:r>
        <w:rPr>
          <w:rFonts w:ascii="FangSong" w:hAnsi="FangSong" w:eastAsia="FangSong" w:cs="FangSong"/>
          <w:sz w:val="62"/>
          <w:szCs w:val="62"/>
          <w:spacing w:val="13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5"/>
        </w:rPr>
        <w:t>必修的课内课程且无不及格记录，同时前六学期所修全部课内课</w:t>
      </w:r>
      <w:r>
        <w:rPr>
          <w:rFonts w:ascii="FangSong" w:hAnsi="FangSong" w:eastAsia="FangSong" w:cs="FangSong"/>
          <w:sz w:val="62"/>
          <w:szCs w:val="62"/>
          <w:spacing w:val="5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10"/>
        </w:rPr>
        <w:t>程平均学分绩点位列专业前50%。</w:t>
      </w:r>
    </w:p>
    <w:p>
      <w:pPr>
        <w:ind w:right="176" w:firstLine="1452"/>
        <w:spacing w:before="254" w:line="287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21"/>
        </w:rPr>
        <w:t>(3)身体健康，能适应当地艰苦环境，具有一定的教育教</w:t>
      </w:r>
      <w:r>
        <w:rPr>
          <w:rFonts w:ascii="FangSong" w:hAnsi="FangSong" w:eastAsia="FangSong" w:cs="FangSong"/>
          <w:sz w:val="60"/>
          <w:szCs w:val="60"/>
          <w:spacing w:val="10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5"/>
        </w:rPr>
        <w:t>学能力，能胜任支教工作。</w:t>
      </w:r>
    </w:p>
    <w:p>
      <w:pPr>
        <w:ind w:firstLine="1452"/>
        <w:spacing w:before="220" w:line="285" w:lineRule="auto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2"/>
          <w:szCs w:val="62"/>
          <w:spacing w:val="-14"/>
        </w:rPr>
        <w:t>(4)在校期间具有学生干部经历，且取得优秀的工作成绩；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6"/>
        </w:rPr>
        <w:t>同时热心公益，拥有丰富的社会实践和志愿者服务经历。在校期</w:t>
      </w:r>
      <w:r>
        <w:rPr>
          <w:rFonts w:ascii="FangSong" w:hAnsi="FangSong" w:eastAsia="FangSong" w:cs="FangSong"/>
          <w:sz w:val="62"/>
          <w:szCs w:val="62"/>
          <w:spacing w:val="9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1"/>
        </w:rPr>
        <w:t>间有参军入伍服兵役或参加国际组织实习经历的可优先考虑。</w:t>
      </w:r>
    </w:p>
    <w:p>
      <w:pPr>
        <w:ind w:left="1204"/>
        <w:spacing w:before="385" w:line="223" w:lineRule="auto"/>
        <w:rPr>
          <w:rFonts w:ascii="SimHei" w:hAnsi="SimHei" w:eastAsia="SimHei" w:cs="SimHei"/>
          <w:sz w:val="60"/>
          <w:szCs w:val="60"/>
        </w:rPr>
      </w:pPr>
      <w:r>
        <w:rPr>
          <w:rFonts w:ascii="SimHei" w:hAnsi="SimHei" w:eastAsia="SimHei" w:cs="SimHei"/>
          <w:sz w:val="60"/>
          <w:szCs w:val="60"/>
          <w:spacing w:val="7"/>
        </w:rPr>
        <w:t>六、推荐依据与标准</w:t>
      </w:r>
    </w:p>
    <w:p>
      <w:pPr>
        <w:ind w:left="1452"/>
        <w:spacing w:before="304" w:line="223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19"/>
        </w:rPr>
        <w:t>(一)普通推免生和特殊学术专长生的推荐依据与标准</w:t>
      </w:r>
    </w:p>
    <w:p>
      <w:pPr>
        <w:ind w:right="203" w:firstLine="1204"/>
        <w:spacing w:before="326" w:line="312" w:lineRule="auto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2"/>
          <w:szCs w:val="62"/>
          <w:spacing w:val="-25"/>
        </w:rPr>
        <w:t>在符合推荐条件的基础上，综合评分的排名是推荐免试攻读</w:t>
      </w:r>
      <w:r>
        <w:rPr>
          <w:rFonts w:ascii="FangSong" w:hAnsi="FangSong" w:eastAsia="FangSong" w:cs="FangSong"/>
          <w:sz w:val="62"/>
          <w:szCs w:val="62"/>
          <w:spacing w:val="7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19"/>
        </w:rPr>
        <w:t>研究生的重要依据，综合评分计算办法详见附件。</w:t>
      </w:r>
    </w:p>
    <w:p>
      <w:pPr>
        <w:ind w:right="191" w:firstLine="1204"/>
        <w:spacing w:before="2" w:line="327" w:lineRule="auto"/>
        <w:jc w:val="both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2"/>
          <w:szCs w:val="62"/>
          <w:spacing w:val="-25"/>
        </w:rPr>
        <w:t>在符合推荐条件的基础上，综合评分评定必</w:t>
      </w:r>
      <w:r>
        <w:rPr>
          <w:rFonts w:ascii="FangSong" w:hAnsi="FangSong" w:eastAsia="FangSong" w:cs="FangSong"/>
          <w:sz w:val="62"/>
          <w:szCs w:val="62"/>
          <w:spacing w:val="-26"/>
        </w:rPr>
        <w:t>须坚持德智体美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4"/>
        </w:rPr>
        <w:t>劳全面衡量，把学生思想品德鉴定作为推免生遴选首要依据，思</w:t>
      </w:r>
      <w:r>
        <w:rPr>
          <w:rFonts w:ascii="FangSong" w:hAnsi="FangSong" w:eastAsia="FangSong" w:cs="FangSong"/>
          <w:sz w:val="62"/>
          <w:szCs w:val="62"/>
          <w:spacing w:val="5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0"/>
        </w:rPr>
        <w:t>想品德鉴定不合格者不予推荐。</w:t>
      </w:r>
    </w:p>
    <w:p>
      <w:pPr>
        <w:spacing w:line="327" w:lineRule="auto"/>
        <w:sectPr>
          <w:footerReference w:type="default" r:id="rId8"/>
          <w:pgSz w:w="22103" w:h="31680"/>
          <w:pgMar w:top="2692" w:right="2576" w:bottom="2328" w:left="2639" w:header="0" w:footer="2076" w:gutter="0"/>
        </w:sectPr>
        <w:rPr>
          <w:rFonts w:ascii="FangSong" w:hAnsi="FangSong" w:eastAsia="FangSong" w:cs="FangSong"/>
          <w:sz w:val="62"/>
          <w:szCs w:val="62"/>
        </w:rPr>
      </w:pPr>
    </w:p>
    <w:p>
      <w:pPr>
        <w:ind w:left="188" w:right="97" w:firstLine="1468"/>
        <w:spacing w:before="225" w:line="314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1"/>
        </w:rPr>
        <w:t>(二)“研究生支教团推免专项计划”的推荐依据与标准由</w:t>
      </w:r>
      <w:r>
        <w:rPr>
          <w:rFonts w:ascii="FangSong" w:hAnsi="FangSong" w:eastAsia="FangSong" w:cs="FangSong"/>
          <w:sz w:val="60"/>
          <w:szCs w:val="60"/>
          <w:spacing w:val="1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10"/>
        </w:rPr>
        <w:t>校团委负责制定。</w:t>
      </w:r>
    </w:p>
    <w:p>
      <w:pPr>
        <w:ind w:left="1374"/>
        <w:spacing w:before="97" w:line="222" w:lineRule="auto"/>
        <w:rPr>
          <w:rFonts w:ascii="SimHei" w:hAnsi="SimHei" w:eastAsia="SimHei" w:cs="SimHei"/>
          <w:sz w:val="60"/>
          <w:szCs w:val="60"/>
        </w:rPr>
      </w:pPr>
      <w:r>
        <w:rPr>
          <w:rFonts w:ascii="SimHei" w:hAnsi="SimHei" w:eastAsia="SimHei" w:cs="SimHei"/>
          <w:sz w:val="60"/>
          <w:szCs w:val="60"/>
          <w:spacing w:val="-2"/>
        </w:rPr>
        <w:t>七、推荐程序</w:t>
      </w:r>
    </w:p>
    <w:p>
      <w:pPr>
        <w:ind w:left="170" w:right="318" w:firstLine="1243"/>
        <w:spacing w:before="305" w:line="275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2"/>
        </w:rPr>
        <w:t>(一)教务处根据上级部署，发布年度推免生遴选工</w:t>
      </w:r>
      <w:r>
        <w:rPr>
          <w:rFonts w:ascii="FangSong" w:hAnsi="FangSong" w:eastAsia="FangSong" w:cs="FangSong"/>
          <w:sz w:val="60"/>
          <w:szCs w:val="60"/>
          <w:spacing w:val="1"/>
        </w:rPr>
        <w:t>作通知</w:t>
      </w:r>
      <w:r>
        <w:rPr>
          <w:rFonts w:ascii="FangSong" w:hAnsi="FangSong" w:eastAsia="FangSong" w:cs="FangSong"/>
          <w:sz w:val="60"/>
          <w:szCs w:val="60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12"/>
        </w:rPr>
        <w:t>和各学院推免生推荐名额。</w:t>
      </w:r>
    </w:p>
    <w:p>
      <w:pPr>
        <w:ind w:right="244" w:firstLine="1414"/>
        <w:spacing w:before="298" w:line="308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4"/>
        </w:rPr>
        <w:t>(二)各学院根据本办法，制定不低于学校要求的具体实施</w:t>
      </w:r>
      <w:r>
        <w:rPr>
          <w:rFonts w:ascii="FangSong" w:hAnsi="FangSong" w:eastAsia="FangSong" w:cs="FangSong"/>
          <w:sz w:val="60"/>
          <w:szCs w:val="60"/>
          <w:spacing w:val="9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12"/>
        </w:rPr>
        <w:t>细则。在推荐工作开始前，面向本学院应届毕业生公布实施细则</w:t>
      </w:r>
      <w:r>
        <w:rPr>
          <w:rFonts w:ascii="FangSong" w:hAnsi="FangSong" w:eastAsia="FangSong" w:cs="FangSong"/>
          <w:sz w:val="60"/>
          <w:szCs w:val="60"/>
          <w:spacing w:val="14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10"/>
        </w:rPr>
        <w:t>和推荐名额，并报学校备案。对特殊学术专长生按不超过学院推</w:t>
      </w:r>
      <w:r>
        <w:rPr>
          <w:rFonts w:ascii="FangSong" w:hAnsi="FangSong" w:eastAsia="FangSong" w:cs="FangSong"/>
          <w:sz w:val="60"/>
          <w:szCs w:val="60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32"/>
        </w:rPr>
        <w:t>荐总名额40%的比例(四舍五入取整数),予以优先推荐。若学</w:t>
      </w:r>
      <w:r>
        <w:rPr>
          <w:rFonts w:ascii="FangSong" w:hAnsi="FangSong" w:eastAsia="FangSong" w:cs="FangSong"/>
          <w:sz w:val="60"/>
          <w:szCs w:val="60"/>
          <w:spacing w:val="7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1"/>
        </w:rPr>
        <w:t>院当年推荐名额仅有1个，不进行分类推荐，学院组织综合评审</w:t>
      </w:r>
      <w:r>
        <w:rPr>
          <w:rFonts w:ascii="FangSong" w:hAnsi="FangSong" w:eastAsia="FangSong" w:cs="FangSong"/>
          <w:sz w:val="60"/>
          <w:szCs w:val="60"/>
          <w:spacing w:val="9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13"/>
        </w:rPr>
        <w:t>后择优推荐。</w:t>
      </w:r>
    </w:p>
    <w:p>
      <w:pPr>
        <w:ind w:right="152" w:firstLine="1414"/>
        <w:spacing w:before="339" w:line="290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8"/>
        </w:rPr>
        <w:t>(三)符合申请条件的学生，由本人向所在学院提出申请，</w:t>
      </w:r>
      <w:r>
        <w:rPr>
          <w:rFonts w:ascii="FangSong" w:hAnsi="FangSong" w:eastAsia="FangSong" w:cs="FangSong"/>
          <w:sz w:val="60"/>
          <w:szCs w:val="60"/>
          <w:spacing w:val="5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1"/>
        </w:rPr>
        <w:t>填写《杭州电子科技大学推荐免试攻读研究生申请表》(以下简</w:t>
      </w:r>
      <w:r>
        <w:rPr>
          <w:rFonts w:ascii="FangSong" w:hAnsi="FangSong" w:eastAsia="FangSong" w:cs="FangSong"/>
          <w:sz w:val="60"/>
          <w:szCs w:val="60"/>
          <w:spacing w:val="18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16"/>
        </w:rPr>
        <w:t>称“申请表”),并提交相关证明材料，具体要求如下：</w:t>
      </w:r>
    </w:p>
    <w:p>
      <w:pPr>
        <w:ind w:right="135" w:firstLine="1262"/>
        <w:spacing w:before="291" w:line="284" w:lineRule="auto"/>
        <w:rPr>
          <w:rFonts w:ascii="FangSong" w:hAnsi="FangSong" w:eastAsia="FangSong" w:cs="FangSong"/>
          <w:sz w:val="62"/>
          <w:szCs w:val="62"/>
        </w:rPr>
      </w:pPr>
      <w:r>
        <w:rPr>
          <w:rFonts w:ascii="Times New Roman" w:hAnsi="Times New Roman" w:eastAsia="Times New Roman" w:cs="Times New Roman"/>
          <w:sz w:val="62"/>
          <w:szCs w:val="62"/>
          <w:spacing w:val="-29"/>
        </w:rPr>
        <w:t>1.</w:t>
      </w:r>
      <w:r>
        <w:rPr>
          <w:rFonts w:ascii="Times New Roman" w:hAnsi="Times New Roman" w:eastAsia="Times New Roman" w:cs="Times New Roman"/>
          <w:sz w:val="62"/>
          <w:szCs w:val="62"/>
          <w:spacing w:val="47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9"/>
        </w:rPr>
        <w:t>学生所填信息和提供材料须准确真实，申请时应承诺在获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7"/>
        </w:rPr>
        <w:t>得学校推免资格后不擅自放弃，如擅自放弃造成推免名额浪费</w:t>
      </w:r>
      <w:r>
        <w:rPr>
          <w:rFonts w:ascii="FangSong" w:hAnsi="FangSong" w:eastAsia="FangSong" w:cs="FangSong"/>
          <w:sz w:val="62"/>
          <w:szCs w:val="62"/>
          <w:spacing w:val="7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8"/>
        </w:rPr>
        <w:t>者，将作为非诚信行为记入个人档案；</w:t>
      </w:r>
    </w:p>
    <w:p>
      <w:pPr>
        <w:ind w:right="207" w:firstLine="1226"/>
        <w:spacing w:before="337" w:line="264" w:lineRule="auto"/>
        <w:rPr>
          <w:rFonts w:ascii="FangSong" w:hAnsi="FangSong" w:eastAsia="FangSong" w:cs="FangSong"/>
          <w:sz w:val="62"/>
          <w:szCs w:val="62"/>
        </w:rPr>
      </w:pPr>
      <w:r>
        <w:rPr>
          <w:rFonts w:ascii="Times New Roman" w:hAnsi="Times New Roman" w:eastAsia="Times New Roman" w:cs="Times New Roman"/>
          <w:sz w:val="62"/>
          <w:szCs w:val="62"/>
          <w:spacing w:val="-28"/>
        </w:rPr>
        <w:t>2. </w:t>
      </w:r>
      <w:r>
        <w:rPr>
          <w:rFonts w:ascii="FangSong" w:hAnsi="FangSong" w:eastAsia="FangSong" w:cs="FangSong"/>
          <w:sz w:val="62"/>
          <w:szCs w:val="62"/>
          <w:spacing w:val="-28"/>
        </w:rPr>
        <w:t>每位学生按推荐类别限报一项，符合多个类别推荐条件的</w:t>
      </w:r>
      <w:r>
        <w:rPr>
          <w:rFonts w:ascii="FangSong" w:hAnsi="FangSong" w:eastAsia="FangSong" w:cs="FangSong"/>
          <w:sz w:val="62"/>
          <w:szCs w:val="62"/>
          <w:spacing w:val="13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6"/>
        </w:rPr>
        <w:t>学生须慎重选择，一旦提交不得更改。</w:t>
      </w:r>
    </w:p>
    <w:p>
      <w:pPr>
        <w:ind w:right="76" w:firstLine="1414"/>
        <w:spacing w:before="355" w:line="287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11"/>
        </w:rPr>
        <w:t>(四)学院对各类别推免生申请材料和基本条件进行审核，</w:t>
      </w:r>
      <w:r>
        <w:rPr>
          <w:rFonts w:ascii="FangSong" w:hAnsi="FangSong" w:eastAsia="FangSong" w:cs="FangSong"/>
          <w:sz w:val="60"/>
          <w:szCs w:val="60"/>
          <w:spacing w:val="4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9"/>
        </w:rPr>
        <w:t>根据推荐名额，对符合条件的学生依照综合评分从高到低予以分</w:t>
      </w:r>
      <w:r>
        <w:rPr>
          <w:rFonts w:ascii="FangSong" w:hAnsi="FangSong" w:eastAsia="FangSong" w:cs="FangSong"/>
          <w:sz w:val="60"/>
          <w:szCs w:val="60"/>
          <w:spacing w:val="6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6"/>
        </w:rPr>
        <w:t>类推荐排序，同时按实际推荐名额1:0.</w:t>
      </w:r>
      <w:r>
        <w:rPr>
          <w:rFonts w:ascii="FangSong" w:hAnsi="FangSong" w:eastAsia="FangSong" w:cs="FangSong"/>
          <w:sz w:val="60"/>
          <w:szCs w:val="60"/>
          <w:spacing w:val="5"/>
        </w:rPr>
        <w:t>5比例上报候补名单。</w:t>
      </w:r>
    </w:p>
    <w:p>
      <w:pPr>
        <w:ind w:firstLine="1414"/>
        <w:spacing w:before="310" w:line="273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16"/>
        </w:rPr>
        <w:t>(五)学院把拟推荐名单及相关材料在学院网站</w:t>
      </w:r>
      <w:r>
        <w:rPr>
          <w:rFonts w:ascii="FangSong" w:hAnsi="FangSong" w:eastAsia="FangSong" w:cs="FangSong"/>
          <w:sz w:val="60"/>
          <w:szCs w:val="60"/>
          <w:spacing w:val="15"/>
        </w:rPr>
        <w:t>公示(公示</w:t>
      </w:r>
      <w:r>
        <w:rPr>
          <w:rFonts w:ascii="FangSong" w:hAnsi="FangSong" w:eastAsia="FangSong" w:cs="FangSong"/>
          <w:sz w:val="60"/>
          <w:szCs w:val="60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1"/>
        </w:rPr>
        <w:t>期至少3天)。公示期内如有异议，由学院负责解释和调查处理。</w:t>
      </w:r>
    </w:p>
    <w:p>
      <w:pPr>
        <w:spacing w:line="273" w:lineRule="auto"/>
        <w:sectPr>
          <w:footerReference w:type="default" r:id="rId9"/>
          <w:pgSz w:w="22213" w:h="31680"/>
          <w:pgMar w:top="2692" w:right="2829" w:bottom="2465" w:left="2600" w:header="0" w:footer="2157" w:gutter="0"/>
        </w:sectPr>
        <w:rPr>
          <w:rFonts w:ascii="FangSong" w:hAnsi="FangSong" w:eastAsia="FangSong" w:cs="FangSong"/>
          <w:sz w:val="60"/>
          <w:szCs w:val="60"/>
        </w:rPr>
      </w:pPr>
    </w:p>
    <w:p>
      <w:pPr>
        <w:ind w:left="188" w:right="199"/>
        <w:spacing w:before="245" w:line="326" w:lineRule="auto"/>
        <w:jc w:val="both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-11"/>
        </w:rPr>
        <w:t>公示结束后，学院填写《申请表》推荐意见和《拟推荐免试攻读</w:t>
      </w:r>
      <w:r>
        <w:rPr>
          <w:rFonts w:ascii="FangSong" w:hAnsi="FangSong" w:eastAsia="FangSong" w:cs="FangSong"/>
          <w:sz w:val="60"/>
          <w:szCs w:val="60"/>
          <w:spacing w:val="3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22"/>
        </w:rPr>
        <w:t>研究生情况汇总表》(以下简称“汇总表”),并将相关材料报</w:t>
      </w:r>
      <w:r>
        <w:rPr>
          <w:rFonts w:ascii="FangSong" w:hAnsi="FangSong" w:eastAsia="FangSong" w:cs="FangSong"/>
          <w:sz w:val="60"/>
          <w:szCs w:val="60"/>
          <w:spacing w:val="2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21"/>
        </w:rPr>
        <w:t>教务处审核。</w:t>
      </w:r>
    </w:p>
    <w:p>
      <w:pPr>
        <w:ind w:left="87" w:firstLine="1555"/>
        <w:spacing w:before="14" w:line="299" w:lineRule="auto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2"/>
          <w:szCs w:val="62"/>
          <w:spacing w:val="-32"/>
        </w:rPr>
        <w:t>(六)“支教团”专项推免生的推荐程序：学生填写申请表，</w:t>
      </w:r>
      <w:r>
        <w:rPr>
          <w:rFonts w:ascii="FangSong" w:hAnsi="FangSong" w:eastAsia="FangSong" w:cs="FangSong"/>
          <w:sz w:val="62"/>
          <w:szCs w:val="62"/>
          <w:spacing w:val="8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7"/>
        </w:rPr>
        <w:t>并提交证明材料，经学院审核同意后交校团委，校团委会同研究</w:t>
      </w:r>
      <w:r>
        <w:rPr>
          <w:rFonts w:ascii="FangSong" w:hAnsi="FangSong" w:eastAsia="FangSong" w:cs="FangSong"/>
          <w:sz w:val="62"/>
          <w:szCs w:val="62"/>
          <w:spacing w:val="4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6"/>
        </w:rPr>
        <w:t>生院、学生处、教务处、组织部等职能部门</w:t>
      </w:r>
      <w:r>
        <w:rPr>
          <w:rFonts w:ascii="FangSong" w:hAnsi="FangSong" w:eastAsia="FangSong" w:cs="FangSong"/>
          <w:sz w:val="62"/>
          <w:szCs w:val="62"/>
          <w:spacing w:val="-27"/>
        </w:rPr>
        <w:t>进行综合测评，根据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7"/>
        </w:rPr>
        <w:t>推荐名额和综合评分从高到低予以推荐排序，同时按实际推荐名</w:t>
      </w:r>
      <w:r>
        <w:rPr>
          <w:rFonts w:ascii="FangSong" w:hAnsi="FangSong" w:eastAsia="FangSong" w:cs="FangSong"/>
          <w:sz w:val="62"/>
          <w:szCs w:val="62"/>
          <w:spacing w:val="3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13"/>
        </w:rPr>
        <w:t>额1:0.5比例上报候补名单。校团委填写</w:t>
      </w:r>
      <w:r>
        <w:rPr>
          <w:rFonts w:ascii="FangSong" w:hAnsi="FangSong" w:eastAsia="FangSong" w:cs="FangSong"/>
          <w:sz w:val="62"/>
          <w:szCs w:val="62"/>
          <w:spacing w:val="-14"/>
        </w:rPr>
        <w:t>《申请表》推荐意见和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7"/>
        </w:rPr>
        <w:t>《汇总表》,将拟推荐名单及相关材料在部门网站公示(公示期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4"/>
        </w:rPr>
        <w:t>至少3天)。公示结束后，将相关材料报教务处审核。</w:t>
      </w:r>
    </w:p>
    <w:p>
      <w:pPr>
        <w:ind w:right="238" w:firstLine="1566"/>
        <w:spacing w:before="310" w:line="283" w:lineRule="auto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2"/>
          <w:szCs w:val="62"/>
          <w:spacing w:val="-16"/>
        </w:rPr>
        <w:t>(七)各类别推荐名单经教务处审核后，提交学校推免生遴</w:t>
      </w:r>
      <w:r>
        <w:rPr>
          <w:rFonts w:ascii="FangSong" w:hAnsi="FangSong" w:eastAsia="FangSong" w:cs="FangSong"/>
          <w:sz w:val="62"/>
          <w:szCs w:val="62"/>
          <w:spacing w:val="18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8"/>
        </w:rPr>
        <w:t>选工作领导小组审定，在全校范围内公示最终推荐名单。对有异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8"/>
        </w:rPr>
        <w:t>议的学生，查明情况后向学校推免生遴选工作领导小组汇</w:t>
      </w:r>
      <w:r>
        <w:rPr>
          <w:rFonts w:ascii="FangSong" w:hAnsi="FangSong" w:eastAsia="FangSong" w:cs="FangSong"/>
          <w:sz w:val="62"/>
          <w:szCs w:val="62"/>
          <w:spacing w:val="-29"/>
        </w:rPr>
        <w:t>报，并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5"/>
        </w:rPr>
        <w:t>公布调查处理结果。</w:t>
      </w:r>
    </w:p>
    <w:p>
      <w:pPr>
        <w:ind w:right="261" w:firstLine="1472"/>
        <w:spacing w:before="226" w:line="287" w:lineRule="auto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2"/>
          <w:szCs w:val="62"/>
          <w:spacing w:val="-13"/>
        </w:rPr>
        <w:t>(八)若学院推荐人数不足当年推荐名额，则由学校根据推</w:t>
      </w:r>
      <w:r>
        <w:rPr>
          <w:rFonts w:ascii="FangSong" w:hAnsi="FangSong" w:eastAsia="FangSong" w:cs="FangSong"/>
          <w:sz w:val="62"/>
          <w:szCs w:val="62"/>
          <w:spacing w:val="1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7"/>
        </w:rPr>
        <w:t>荐名额分配原则统筹调配多余名额；因学生自愿</w:t>
      </w:r>
      <w:r>
        <w:rPr>
          <w:rFonts w:ascii="FangSong" w:hAnsi="FangSong" w:eastAsia="FangSong" w:cs="FangSong"/>
          <w:sz w:val="62"/>
          <w:szCs w:val="62"/>
          <w:spacing w:val="-28"/>
        </w:rPr>
        <w:t>放弃等原因造成</w:t>
      </w:r>
      <w:r>
        <w:rPr>
          <w:rFonts w:ascii="FangSong" w:hAnsi="FangSong" w:eastAsia="FangSong" w:cs="FangSong"/>
          <w:sz w:val="62"/>
          <w:szCs w:val="62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4"/>
        </w:rPr>
        <w:t>推荐人数不足的，在时间允许情况下可在本学院候补名单中补</w:t>
      </w:r>
      <w:r>
        <w:rPr>
          <w:rFonts w:ascii="FangSong" w:hAnsi="FangSong" w:eastAsia="FangSong" w:cs="FangSong"/>
          <w:sz w:val="62"/>
          <w:szCs w:val="62"/>
          <w:spacing w:val="13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3"/>
        </w:rPr>
        <w:t>足，如本学院不能补足的，则由学校统筹调配。</w:t>
      </w:r>
    </w:p>
    <w:p>
      <w:pPr>
        <w:ind w:left="1472"/>
        <w:spacing w:before="284" w:line="221" w:lineRule="auto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2"/>
          <w:szCs w:val="62"/>
          <w:spacing w:val="-7"/>
        </w:rPr>
        <w:t>(九)公示结束无异议的学生，即取得推免生资格。</w:t>
      </w:r>
    </w:p>
    <w:p>
      <w:pPr>
        <w:ind w:right="233" w:firstLine="1472"/>
        <w:spacing w:before="264" w:line="266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8"/>
        </w:rPr>
        <w:t>(十)推免生按教育部要求和招生单位有关</w:t>
      </w:r>
      <w:r>
        <w:rPr>
          <w:rFonts w:ascii="FangSong" w:hAnsi="FangSong" w:eastAsia="FangSong" w:cs="FangSong"/>
          <w:sz w:val="60"/>
          <w:szCs w:val="60"/>
          <w:spacing w:val="7"/>
        </w:rPr>
        <w:t>规定须及时进行</w:t>
      </w:r>
      <w:r>
        <w:rPr>
          <w:rFonts w:ascii="FangSong" w:hAnsi="FangSong" w:eastAsia="FangSong" w:cs="FangSong"/>
          <w:sz w:val="60"/>
          <w:szCs w:val="60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9"/>
        </w:rPr>
        <w:t>网上注册报名、参加复试及录取等工作。</w:t>
      </w:r>
    </w:p>
    <w:p>
      <w:pPr>
        <w:ind w:right="214" w:firstLine="1225"/>
        <w:spacing w:before="322" w:line="299" w:lineRule="auto"/>
        <w:jc w:val="both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0"/>
          <w:szCs w:val="60"/>
          <w:spacing w:val="-5"/>
        </w:rPr>
        <w:t>八、各学院是推免工作的主体责任单位，开展推免</w:t>
      </w:r>
      <w:r>
        <w:rPr>
          <w:rFonts w:ascii="FangSong" w:hAnsi="FangSong" w:eastAsia="FangSong" w:cs="FangSong"/>
          <w:sz w:val="60"/>
          <w:szCs w:val="60"/>
          <w:spacing w:val="-6"/>
        </w:rPr>
        <w:t>工作要切</w:t>
      </w:r>
      <w:r>
        <w:rPr>
          <w:rFonts w:ascii="FangSong" w:hAnsi="FangSong" w:eastAsia="FangSong" w:cs="FangSong"/>
          <w:sz w:val="60"/>
          <w:szCs w:val="60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8"/>
        </w:rPr>
        <w:t>实遵守推免政策，未按相关要求开展推免工作的，将严肃处理责</w:t>
      </w:r>
      <w:r>
        <w:rPr>
          <w:rFonts w:ascii="FangSong" w:hAnsi="FangSong" w:eastAsia="FangSong" w:cs="FangSong"/>
          <w:sz w:val="62"/>
          <w:szCs w:val="62"/>
          <w:spacing w:val="14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8"/>
        </w:rPr>
        <w:t>任人，追究相关领导责任，并视情节给予通报批评、减少推免生</w:t>
      </w:r>
      <w:r>
        <w:rPr>
          <w:rFonts w:ascii="FangSong" w:hAnsi="FangSong" w:eastAsia="FangSong" w:cs="FangSong"/>
          <w:sz w:val="62"/>
          <w:szCs w:val="62"/>
          <w:spacing w:val="9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1"/>
        </w:rPr>
        <w:t>名额、直至取消该学院推免资格等处理。</w:t>
      </w:r>
    </w:p>
    <w:p>
      <w:pPr>
        <w:spacing w:line="299" w:lineRule="auto"/>
        <w:sectPr>
          <w:footerReference w:type="default" r:id="rId10"/>
          <w:pgSz w:w="22226" w:h="31680"/>
          <w:pgMar w:top="2692" w:right="2606" w:bottom="2375" w:left="2711" w:header="0" w:footer="2113" w:gutter="0"/>
        </w:sectPr>
        <w:rPr>
          <w:rFonts w:ascii="FangSong" w:hAnsi="FangSong" w:eastAsia="FangSong" w:cs="FangSong"/>
          <w:sz w:val="62"/>
          <w:szCs w:val="62"/>
        </w:rPr>
      </w:pPr>
    </w:p>
    <w:p>
      <w:pPr>
        <w:ind w:left="1317"/>
        <w:spacing w:before="286" w:line="224" w:lineRule="auto"/>
        <w:rPr>
          <w:rFonts w:ascii="SimHei" w:hAnsi="SimHei" w:eastAsia="SimHei" w:cs="SimHei"/>
          <w:sz w:val="56"/>
          <w:szCs w:val="56"/>
        </w:rPr>
      </w:pPr>
      <w:r>
        <w:rPr>
          <w:rFonts w:ascii="SimHei" w:hAnsi="SimHei" w:eastAsia="SimHei" w:cs="SimHei"/>
          <w:sz w:val="56"/>
          <w:szCs w:val="56"/>
          <w:spacing w:val="10"/>
        </w:rPr>
        <w:t>九</w:t>
      </w:r>
      <w:r>
        <w:rPr>
          <w:rFonts w:ascii="SimHei" w:hAnsi="SimHei" w:eastAsia="SimHei" w:cs="SimHei"/>
          <w:sz w:val="56"/>
          <w:szCs w:val="56"/>
          <w:spacing w:val="-122"/>
        </w:rPr>
        <w:t xml:space="preserve"> </w:t>
      </w:r>
      <w:r>
        <w:rPr>
          <w:rFonts w:ascii="SimHei" w:hAnsi="SimHei" w:eastAsia="SimHei" w:cs="SimHei"/>
          <w:sz w:val="56"/>
          <w:szCs w:val="56"/>
          <w:spacing w:val="10"/>
        </w:rPr>
        <w:t>、其它规定</w:t>
      </w:r>
    </w:p>
    <w:p>
      <w:pPr>
        <w:ind w:left="1563"/>
        <w:spacing w:before="280" w:line="223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4"/>
        </w:rPr>
        <w:t>(一)推免生如出现以下情况，学校将取消其推免资格：</w:t>
      </w:r>
    </w:p>
    <w:p>
      <w:pPr>
        <w:ind w:left="1317"/>
        <w:spacing w:before="310" w:line="223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Times New Roman" w:hAnsi="Times New Roman" w:eastAsia="Times New Roman" w:cs="Times New Roman"/>
          <w:sz w:val="60"/>
          <w:szCs w:val="60"/>
          <w:spacing w:val="-8"/>
        </w:rPr>
        <w:t>1.   </w:t>
      </w:r>
      <w:r>
        <w:rPr>
          <w:rFonts w:ascii="FangSong" w:hAnsi="FangSong" w:eastAsia="FangSong" w:cs="FangSong"/>
          <w:sz w:val="60"/>
          <w:szCs w:val="60"/>
          <w:spacing w:val="-8"/>
        </w:rPr>
        <w:t>违反国家法律法规和校纪校规，受到纪律处分者；</w:t>
      </w:r>
    </w:p>
    <w:p>
      <w:pPr>
        <w:ind w:left="1317"/>
        <w:spacing w:before="342" w:line="221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Times New Roman" w:hAnsi="Times New Roman" w:eastAsia="Times New Roman" w:cs="Times New Roman"/>
          <w:sz w:val="60"/>
          <w:szCs w:val="60"/>
          <w:spacing w:val="-7"/>
        </w:rPr>
        <w:t>2.   </w:t>
      </w:r>
      <w:r>
        <w:rPr>
          <w:rFonts w:ascii="FangSong" w:hAnsi="FangSong" w:eastAsia="FangSong" w:cs="FangSong"/>
          <w:sz w:val="60"/>
          <w:szCs w:val="60"/>
          <w:spacing w:val="-7"/>
        </w:rPr>
        <w:t>经查实在申请过程中有弄虚作假或学术不端行为者；</w:t>
      </w:r>
    </w:p>
    <w:p>
      <w:pPr>
        <w:ind w:left="1317"/>
        <w:spacing w:before="316" w:line="221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Times New Roman" w:hAnsi="Times New Roman" w:eastAsia="Times New Roman" w:cs="Times New Roman"/>
          <w:sz w:val="60"/>
          <w:szCs w:val="60"/>
          <w:spacing w:val="-9"/>
        </w:rPr>
        <w:t>3.  </w:t>
      </w:r>
      <w:r>
        <w:rPr>
          <w:rFonts w:ascii="FangSong" w:hAnsi="FangSong" w:eastAsia="FangSong" w:cs="FangSong"/>
          <w:sz w:val="60"/>
          <w:szCs w:val="60"/>
          <w:spacing w:val="-9"/>
        </w:rPr>
        <w:t>在研究生入学前未取得学士学位者；</w:t>
      </w:r>
    </w:p>
    <w:p>
      <w:pPr>
        <w:ind w:right="38" w:firstLine="1317"/>
        <w:spacing w:before="363" w:line="287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Times New Roman" w:hAnsi="Times New Roman" w:eastAsia="Times New Roman" w:cs="Times New Roman"/>
          <w:sz w:val="60"/>
          <w:szCs w:val="60"/>
          <w:spacing w:val="5"/>
        </w:rPr>
        <w:t>4.  </w:t>
      </w:r>
      <w:r>
        <w:rPr>
          <w:rFonts w:ascii="FangSong" w:hAnsi="FangSong" w:eastAsia="FangSong" w:cs="FangSong"/>
          <w:sz w:val="60"/>
          <w:szCs w:val="60"/>
          <w:spacing w:val="5"/>
        </w:rPr>
        <w:t>已被接收单位录取，再报名参加全国研究生入学统一考</w:t>
      </w:r>
      <w:r>
        <w:rPr>
          <w:rFonts w:ascii="FangSong" w:hAnsi="FangSong" w:eastAsia="FangSong" w:cs="FangSong"/>
          <w:sz w:val="60"/>
          <w:szCs w:val="60"/>
          <w:spacing w:val="6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24"/>
        </w:rPr>
        <w:t>试者；</w:t>
      </w:r>
    </w:p>
    <w:p>
      <w:pPr>
        <w:ind w:left="1263"/>
        <w:spacing w:before="281" w:line="222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Times New Roman" w:hAnsi="Times New Roman" w:eastAsia="Times New Roman" w:cs="Times New Roman"/>
          <w:sz w:val="60"/>
          <w:szCs w:val="60"/>
          <w:spacing w:val="-19"/>
        </w:rPr>
        <w:t>5.</w:t>
      </w:r>
      <w:r>
        <w:rPr>
          <w:rFonts w:ascii="Times New Roman" w:hAnsi="Times New Roman" w:eastAsia="Times New Roman" w:cs="Times New Roman"/>
          <w:sz w:val="60"/>
          <w:szCs w:val="60"/>
          <w:spacing w:val="24"/>
        </w:rPr>
        <w:t xml:space="preserve">   </w:t>
      </w:r>
      <w:r>
        <w:rPr>
          <w:rFonts w:ascii="FangSong" w:hAnsi="FangSong" w:eastAsia="FangSong" w:cs="FangSong"/>
          <w:sz w:val="60"/>
          <w:szCs w:val="60"/>
          <w:spacing w:val="-19"/>
        </w:rPr>
        <w:t>申请出国留学者。</w:t>
      </w:r>
    </w:p>
    <w:p>
      <w:pPr>
        <w:ind w:right="86" w:firstLine="1245"/>
        <w:spacing w:before="278" w:line="325" w:lineRule="auto"/>
        <w:jc w:val="both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-11"/>
        </w:rPr>
        <w:t>各学院一旦发现上述情况，应立即报学校推免生遴选工作领</w:t>
      </w:r>
      <w:r>
        <w:rPr>
          <w:rFonts w:ascii="FangSong" w:hAnsi="FangSong" w:eastAsia="FangSong" w:cs="FangSong"/>
          <w:sz w:val="60"/>
          <w:szCs w:val="60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9"/>
        </w:rPr>
        <w:t>导小组核实处理，并将不诚信记录放入其档案中，同时取消其后</w:t>
      </w:r>
      <w:r>
        <w:rPr>
          <w:rFonts w:ascii="FangSong" w:hAnsi="FangSong" w:eastAsia="FangSong" w:cs="FangSong"/>
          <w:sz w:val="60"/>
          <w:szCs w:val="60"/>
          <w:spacing w:val="18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18"/>
        </w:rPr>
        <w:t>续的各类评奖评优资格。</w:t>
      </w:r>
    </w:p>
    <w:p>
      <w:pPr>
        <w:spacing w:before="2" w:line="221" w:lineRule="auto"/>
        <w:jc w:val="right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8"/>
        </w:rPr>
        <w:t>(二)推免工作完成时间严格按教育部当年通知要求执行。</w:t>
      </w:r>
    </w:p>
    <w:p>
      <w:pPr>
        <w:ind w:right="135" w:firstLine="1433"/>
        <w:spacing w:before="318" w:line="271" w:lineRule="auto"/>
        <w:rPr>
          <w:rFonts w:ascii="FangSong" w:hAnsi="FangSong" w:eastAsia="FangSong" w:cs="FangSong"/>
          <w:sz w:val="60"/>
          <w:szCs w:val="60"/>
        </w:rPr>
      </w:pPr>
      <w:r>
        <w:rPr>
          <w:rFonts w:ascii="FangSong" w:hAnsi="FangSong" w:eastAsia="FangSong" w:cs="FangSong"/>
          <w:sz w:val="60"/>
          <w:szCs w:val="60"/>
          <w:spacing w:val="3"/>
        </w:rPr>
        <w:t>(三)对已获得推免生录取的学生，学校不再提供出国留学</w:t>
      </w:r>
      <w:r>
        <w:rPr>
          <w:rFonts w:ascii="FangSong" w:hAnsi="FangSong" w:eastAsia="FangSong" w:cs="FangSong"/>
          <w:sz w:val="60"/>
          <w:szCs w:val="60"/>
          <w:spacing w:val="4"/>
        </w:rPr>
        <w:t xml:space="preserve"> </w:t>
      </w:r>
      <w:r>
        <w:rPr>
          <w:rFonts w:ascii="FangSong" w:hAnsi="FangSong" w:eastAsia="FangSong" w:cs="FangSong"/>
          <w:sz w:val="60"/>
          <w:szCs w:val="60"/>
          <w:spacing w:val="-8"/>
        </w:rPr>
        <w:t>成绩证明以及本科毕业生就业推荐表等服务。</w:t>
      </w:r>
    </w:p>
    <w:p>
      <w:pPr>
        <w:ind w:right="91" w:firstLine="1433"/>
        <w:spacing w:before="347" w:line="285" w:lineRule="auto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2"/>
          <w:szCs w:val="62"/>
          <w:spacing w:val="-15"/>
        </w:rPr>
        <w:t>(四)纪检监察室对推免工作进行监督。对学院或学校推免</w:t>
      </w:r>
      <w:r>
        <w:rPr>
          <w:rFonts w:ascii="FangSong" w:hAnsi="FangSong" w:eastAsia="FangSong" w:cs="FangSong"/>
          <w:sz w:val="62"/>
          <w:szCs w:val="62"/>
          <w:spacing w:val="16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29"/>
        </w:rPr>
        <w:t>工作有异议或发现有违规违纪行为者，可按学校相关规定向纪检</w:t>
      </w:r>
      <w:r>
        <w:rPr>
          <w:rFonts w:ascii="FangSong" w:hAnsi="FangSong" w:eastAsia="FangSong" w:cs="FangSong"/>
          <w:sz w:val="62"/>
          <w:szCs w:val="62"/>
          <w:spacing w:val="11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32"/>
        </w:rPr>
        <w:t>监察室推出举报或申述。</w:t>
      </w:r>
    </w:p>
    <w:p>
      <w:pPr>
        <w:ind w:right="92" w:firstLine="1187"/>
        <w:spacing w:before="251" w:line="311" w:lineRule="auto"/>
        <w:rPr>
          <w:rFonts w:ascii="FangSong" w:hAnsi="FangSong" w:eastAsia="FangSong" w:cs="FangSong"/>
          <w:sz w:val="62"/>
          <w:szCs w:val="62"/>
        </w:rPr>
      </w:pPr>
      <w:r>
        <w:rPr>
          <w:rFonts w:ascii="FangSong" w:hAnsi="FangSong" w:eastAsia="FangSong" w:cs="FangSong"/>
          <w:sz w:val="65"/>
          <w:szCs w:val="65"/>
          <w:spacing w:val="-59"/>
        </w:rPr>
        <w:t>十、本办法自发文之日起执行，由教务处负责解释。原《杭</w:t>
      </w:r>
      <w:r>
        <w:rPr>
          <w:rFonts w:ascii="FangSong" w:hAnsi="FangSong" w:eastAsia="FangSong" w:cs="FangSong"/>
          <w:sz w:val="65"/>
          <w:szCs w:val="65"/>
          <w:spacing w:val="6"/>
        </w:rPr>
        <w:t xml:space="preserve"> </w:t>
      </w:r>
      <w:r>
        <w:rPr>
          <w:rFonts w:ascii="FangSong" w:hAnsi="FangSong" w:eastAsia="FangSong" w:cs="FangSong"/>
          <w:sz w:val="62"/>
          <w:szCs w:val="62"/>
          <w:spacing w:val="-19"/>
        </w:rPr>
        <w:t>州电子科技大学推荐优秀应届本科毕业生免试攻读研究生实施</w:t>
      </w:r>
      <w:r>
        <w:rPr>
          <w:rFonts w:ascii="FangSong" w:hAnsi="FangSong" w:eastAsia="FangSong" w:cs="FangSong"/>
          <w:sz w:val="62"/>
          <w:szCs w:val="62"/>
        </w:rPr>
        <w:t xml:space="preserve">  </w:t>
      </w:r>
      <w:r>
        <w:rPr>
          <w:rFonts w:ascii="FangSong" w:hAnsi="FangSong" w:eastAsia="FangSong" w:cs="FangSong"/>
          <w:sz w:val="62"/>
          <w:szCs w:val="62"/>
          <w:spacing w:val="10"/>
        </w:rPr>
        <w:t>办法》(杭电教〔2020〕131号)同时废止。</w:t>
      </w:r>
    </w:p>
    <w:p>
      <w:pPr>
        <w:spacing w:line="311" w:lineRule="auto"/>
        <w:sectPr>
          <w:footerReference w:type="default" r:id="rId11"/>
          <w:pgSz w:w="22266" w:h="31680"/>
          <w:pgMar w:top="2692" w:right="2955" w:bottom="2453" w:left="2657" w:header="0" w:footer="2115" w:gutter="0"/>
        </w:sectPr>
        <w:rPr>
          <w:rFonts w:ascii="FangSong" w:hAnsi="FangSong" w:eastAsia="FangSong" w:cs="FangSong"/>
          <w:sz w:val="62"/>
          <w:szCs w:val="62"/>
        </w:rPr>
      </w:pPr>
    </w:p>
    <w:p>
      <w:pPr>
        <w:spacing w:before="164" w:line="226" w:lineRule="auto"/>
        <w:rPr>
          <w:rFonts w:ascii="SimHei" w:hAnsi="SimHei" w:eastAsia="SimHei" w:cs="SimHei"/>
          <w:sz w:val="60"/>
          <w:szCs w:val="60"/>
        </w:rPr>
      </w:pPr>
      <w:r>
        <w:rPr>
          <w:rFonts w:ascii="SimHei" w:hAnsi="SimHei" w:eastAsia="SimHei" w:cs="SimHei"/>
          <w:sz w:val="60"/>
          <w:szCs w:val="60"/>
          <w:spacing w:val="-1"/>
        </w:rPr>
        <w:t>附件</w:t>
      </w:r>
    </w:p>
    <w:p>
      <w:pPr>
        <w:ind w:left="1997"/>
        <w:spacing w:before="147" w:line="221" w:lineRule="auto"/>
        <w:rPr>
          <w:rFonts w:ascii="SimSun" w:hAnsi="SimSun" w:eastAsia="SimSun" w:cs="SimSun"/>
          <w:sz w:val="65"/>
          <w:szCs w:val="65"/>
        </w:rPr>
      </w:pPr>
      <w:r>
        <w:rPr>
          <w:rFonts w:ascii="SimSun" w:hAnsi="SimSun" w:eastAsia="SimSun" w:cs="SimSun"/>
          <w:sz w:val="65"/>
          <w:szCs w:val="65"/>
          <w:spacing w:val="27"/>
        </w:rPr>
        <w:t>杭州电子科技大学推免生综合评分计算办法</w:t>
      </w:r>
    </w:p>
    <w:p>
      <w:pPr>
        <w:pStyle w:val="BodyText"/>
        <w:spacing w:line="272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ind w:left="1055"/>
        <w:spacing w:before="169" w:line="225" w:lineRule="auto"/>
        <w:rPr>
          <w:rFonts w:ascii="FangSong" w:hAnsi="FangSong" w:eastAsia="FangSong" w:cs="FangSong"/>
          <w:sz w:val="52"/>
          <w:szCs w:val="52"/>
        </w:rPr>
      </w:pPr>
      <w:r>
        <w:rPr>
          <w:rFonts w:ascii="FangSong" w:hAnsi="FangSong" w:eastAsia="FangSong" w:cs="FangSong"/>
          <w:sz w:val="52"/>
          <w:szCs w:val="52"/>
          <w:spacing w:val="-5"/>
        </w:rPr>
        <w:t>一</w:t>
      </w:r>
      <w:r>
        <w:rPr>
          <w:rFonts w:ascii="FangSong" w:hAnsi="FangSong" w:eastAsia="FangSong" w:cs="FangSong"/>
          <w:sz w:val="52"/>
          <w:szCs w:val="52"/>
          <w:spacing w:val="-144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-5"/>
        </w:rPr>
        <w:t>、普通推免生</w:t>
      </w:r>
    </w:p>
    <w:p>
      <w:pPr>
        <w:ind w:right="38" w:firstLine="1055"/>
        <w:spacing w:before="136" w:line="305" w:lineRule="auto"/>
        <w:rPr>
          <w:rFonts w:ascii="FangSong" w:hAnsi="FangSong" w:eastAsia="FangSong" w:cs="FangSong"/>
          <w:sz w:val="52"/>
          <w:szCs w:val="52"/>
        </w:rPr>
      </w:pPr>
      <w:r>
        <w:rPr>
          <w:rFonts w:ascii="FangSong" w:hAnsi="FangSong" w:eastAsia="FangSong" w:cs="FangSong"/>
          <w:sz w:val="52"/>
          <w:szCs w:val="52"/>
          <w:spacing w:val="34"/>
        </w:rPr>
        <w:t>综合评分=前三学年平均学分绩点(5</w:t>
      </w:r>
      <w:r>
        <w:rPr>
          <w:rFonts w:ascii="FangSong" w:hAnsi="FangSong" w:eastAsia="FangSong" w:cs="FangSong"/>
          <w:sz w:val="52"/>
          <w:szCs w:val="52"/>
          <w:spacing w:val="-28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34"/>
        </w:rPr>
        <w:t>分制)*60+</w:t>
      </w:r>
      <w:r>
        <w:rPr>
          <w:rFonts w:ascii="FangSong" w:hAnsi="FangSong" w:eastAsia="FangSong" w:cs="FangSong"/>
          <w:sz w:val="52"/>
          <w:szCs w:val="52"/>
          <w:spacing w:val="33"/>
        </w:rPr>
        <w:t>综合素质评分(满</w:t>
      </w:r>
      <w:r>
        <w:rPr>
          <w:rFonts w:ascii="FangSong" w:hAnsi="FangSong" w:eastAsia="FangSong" w:cs="FangSong"/>
          <w:sz w:val="52"/>
          <w:szCs w:val="52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62"/>
        </w:rPr>
        <w:t>分100分)</w:t>
      </w:r>
    </w:p>
    <w:p>
      <w:pPr>
        <w:ind w:right="62" w:firstLine="1055"/>
        <w:spacing w:before="6" w:line="288" w:lineRule="auto"/>
        <w:jc w:val="both"/>
        <w:rPr>
          <w:rFonts w:ascii="FangSong" w:hAnsi="FangSong" w:eastAsia="FangSong" w:cs="FangSong"/>
          <w:sz w:val="52"/>
          <w:szCs w:val="52"/>
        </w:rPr>
      </w:pPr>
      <w:r>
        <w:rPr>
          <w:rFonts w:ascii="FangSong" w:hAnsi="FangSong" w:eastAsia="FangSong" w:cs="FangSong"/>
          <w:sz w:val="52"/>
          <w:szCs w:val="52"/>
          <w:spacing w:val="-1"/>
        </w:rPr>
        <w:t>综合素质评分由各学院参照《杭州电子科技大学学生综合测评实施办</w:t>
      </w:r>
      <w:r>
        <w:rPr>
          <w:rFonts w:ascii="FangSong" w:hAnsi="FangSong" w:eastAsia="FangSong" w:cs="FangSong"/>
          <w:sz w:val="52"/>
          <w:szCs w:val="52"/>
          <w:spacing w:val="17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-1"/>
        </w:rPr>
        <w:t>法》及学院实际情况制定评分细则，须将科研积分、荣誉奖励、社会服务</w:t>
      </w:r>
      <w:r>
        <w:rPr>
          <w:rFonts w:ascii="FangSong" w:hAnsi="FangSong" w:eastAsia="FangSong" w:cs="FangSong"/>
          <w:sz w:val="52"/>
          <w:szCs w:val="52"/>
          <w:spacing w:val="16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-1"/>
        </w:rPr>
        <w:t>等符合全面发展价值导向因素纳入。其中科研积分认定标准及原则依据本</w:t>
      </w:r>
      <w:r>
        <w:rPr>
          <w:rFonts w:ascii="FangSong" w:hAnsi="FangSong" w:eastAsia="FangSong" w:cs="FangSong"/>
          <w:sz w:val="52"/>
          <w:szCs w:val="52"/>
          <w:spacing w:val="16"/>
        </w:rPr>
        <w:t xml:space="preserve"> </w:t>
      </w:r>
      <w:r>
        <w:rPr>
          <w:rFonts w:ascii="FangSong" w:hAnsi="FangSong" w:eastAsia="FangSong" w:cs="FangSong"/>
          <w:sz w:val="52"/>
          <w:szCs w:val="52"/>
        </w:rPr>
        <w:t>附件第三部分，具体赋分规则及占比由各学院自定，原则上科研积分占比</w:t>
      </w:r>
      <w:r>
        <w:rPr>
          <w:rFonts w:ascii="FangSong" w:hAnsi="FangSong" w:eastAsia="FangSong" w:cs="FangSong"/>
          <w:sz w:val="52"/>
          <w:szCs w:val="52"/>
          <w:spacing w:val="1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8"/>
        </w:rPr>
        <w:t>不得低于综合素质成绩的15%。</w:t>
      </w:r>
    </w:p>
    <w:p>
      <w:pPr>
        <w:ind w:right="76" w:firstLine="1055"/>
        <w:spacing w:before="28" w:line="318" w:lineRule="auto"/>
        <w:rPr>
          <w:rFonts w:ascii="FangSong" w:hAnsi="FangSong" w:eastAsia="FangSong" w:cs="FangSong"/>
          <w:sz w:val="52"/>
          <w:szCs w:val="52"/>
        </w:rPr>
      </w:pPr>
      <w:r>
        <w:rPr>
          <w:rFonts w:ascii="FangSong" w:hAnsi="FangSong" w:eastAsia="FangSong" w:cs="FangSong"/>
          <w:sz w:val="52"/>
          <w:szCs w:val="52"/>
          <w:spacing w:val="51"/>
        </w:rPr>
        <w:t>综合素质评分不合格者(低于60分(不含))不予推荐，所有申请</w:t>
      </w:r>
      <w:r>
        <w:rPr>
          <w:rFonts w:ascii="FangSong" w:hAnsi="FangSong" w:eastAsia="FangSong" w:cs="FangSong"/>
          <w:sz w:val="52"/>
          <w:szCs w:val="52"/>
          <w:spacing w:val="3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6"/>
        </w:rPr>
        <w:t>者的综合素质评分材料须完整保留。</w:t>
      </w:r>
    </w:p>
    <w:p>
      <w:pPr>
        <w:ind w:left="1055"/>
        <w:spacing w:before="1" w:line="224" w:lineRule="auto"/>
        <w:rPr>
          <w:rFonts w:ascii="FangSong" w:hAnsi="FangSong" w:eastAsia="FangSong" w:cs="FangSong"/>
          <w:sz w:val="52"/>
          <w:szCs w:val="52"/>
        </w:rPr>
      </w:pPr>
      <w:r>
        <w:rPr>
          <w:rFonts w:ascii="FangSong" w:hAnsi="FangSong" w:eastAsia="FangSong" w:cs="FangSong"/>
          <w:sz w:val="52"/>
          <w:szCs w:val="52"/>
          <w:spacing w:val="10"/>
        </w:rPr>
        <w:t>二、特殊学术专长生</w:t>
      </w:r>
    </w:p>
    <w:p>
      <w:pPr>
        <w:ind w:right="775" w:firstLine="1055"/>
        <w:spacing w:before="101" w:line="309" w:lineRule="auto"/>
        <w:rPr>
          <w:rFonts w:ascii="FangSong" w:hAnsi="FangSong" w:eastAsia="FangSong" w:cs="FangSong"/>
          <w:sz w:val="52"/>
          <w:szCs w:val="52"/>
        </w:rPr>
      </w:pPr>
      <w:r>
        <w:rPr>
          <w:rFonts w:ascii="FangSong" w:hAnsi="FangSong" w:eastAsia="FangSong" w:cs="FangSong"/>
          <w:sz w:val="52"/>
          <w:szCs w:val="52"/>
          <w:spacing w:val="35"/>
        </w:rPr>
        <w:t>综合评分=前三学年平均学分绩点(5分制)*60+科研积分(满分</w:t>
      </w:r>
      <w:r>
        <w:rPr>
          <w:rFonts w:ascii="FangSong" w:hAnsi="FangSong" w:eastAsia="FangSong" w:cs="FangSong"/>
          <w:sz w:val="52"/>
          <w:szCs w:val="52"/>
          <w:spacing w:val="10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53"/>
        </w:rPr>
        <w:t>20分)*2+学术专长评分(满分100分)*</w:t>
      </w:r>
      <w:r>
        <w:rPr>
          <w:rFonts w:ascii="FangSong" w:hAnsi="FangSong" w:eastAsia="FangSong" w:cs="FangSong"/>
          <w:sz w:val="52"/>
          <w:szCs w:val="52"/>
          <w:spacing w:val="52"/>
        </w:rPr>
        <w:t>0.6。</w:t>
      </w:r>
    </w:p>
    <w:p>
      <w:pPr>
        <w:ind w:left="1055"/>
        <w:spacing w:line="225" w:lineRule="auto"/>
        <w:rPr>
          <w:rFonts w:ascii="FangSong" w:hAnsi="FangSong" w:eastAsia="FangSong" w:cs="FangSong"/>
          <w:sz w:val="52"/>
          <w:szCs w:val="52"/>
        </w:rPr>
      </w:pPr>
      <w:r>
        <w:rPr>
          <w:rFonts w:ascii="FangSong" w:hAnsi="FangSong" w:eastAsia="FangSong" w:cs="FangSong"/>
          <w:sz w:val="52"/>
          <w:szCs w:val="52"/>
          <w:spacing w:val="4"/>
        </w:rPr>
        <w:t>科研积分认定标准及原则依据本附件第三部分。</w:t>
      </w:r>
    </w:p>
    <w:p>
      <w:pPr>
        <w:ind w:right="5" w:firstLine="1055"/>
        <w:spacing w:before="197" w:line="288" w:lineRule="auto"/>
        <w:rPr>
          <w:rFonts w:ascii="FangSong" w:hAnsi="FangSong" w:eastAsia="FangSong" w:cs="FangSong"/>
          <w:sz w:val="52"/>
          <w:szCs w:val="52"/>
        </w:rPr>
      </w:pPr>
      <w:r>
        <w:rPr>
          <w:rFonts w:ascii="FangSong" w:hAnsi="FangSong" w:eastAsia="FangSong" w:cs="FangSong"/>
          <w:sz w:val="52"/>
          <w:szCs w:val="52"/>
          <w:spacing w:val="10"/>
        </w:rPr>
        <w:t>学院成立专家审核小组(成员原则上应具有相关学科副教授及以上职</w:t>
      </w:r>
      <w:r>
        <w:rPr>
          <w:rFonts w:ascii="FangSong" w:hAnsi="FangSong" w:eastAsia="FangSong" w:cs="FangSong"/>
          <w:sz w:val="52"/>
          <w:szCs w:val="52"/>
          <w:spacing w:val="4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24"/>
        </w:rPr>
        <w:t>称，一般不少于5人),组织学术专长评审，对学生取得的标志性创新成</w:t>
      </w:r>
      <w:r>
        <w:rPr>
          <w:rFonts w:ascii="FangSong" w:hAnsi="FangSong" w:eastAsia="FangSong" w:cs="FangSong"/>
          <w:sz w:val="52"/>
          <w:szCs w:val="52"/>
          <w:spacing w:val="17"/>
        </w:rPr>
        <w:t xml:space="preserve"> </w:t>
      </w:r>
      <w:r>
        <w:rPr>
          <w:rFonts w:ascii="FangSong" w:hAnsi="FangSong" w:eastAsia="FangSong" w:cs="FangSong"/>
          <w:sz w:val="52"/>
          <w:szCs w:val="52"/>
        </w:rPr>
        <w:t>果进行审核鉴定，排除抄袭、造假、冒名及有名无实等情况。专家审核小</w:t>
      </w:r>
      <w:r>
        <w:rPr>
          <w:rFonts w:ascii="FangSong" w:hAnsi="FangSong" w:eastAsia="FangSong" w:cs="FangSong"/>
          <w:sz w:val="52"/>
          <w:szCs w:val="52"/>
          <w:spacing w:val="5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1"/>
        </w:rPr>
        <w:t>组要给出明确审核鉴定意见，每位成员须签字，答辩全程录音录像，评审</w:t>
      </w:r>
      <w:r>
        <w:rPr>
          <w:rFonts w:ascii="FangSong" w:hAnsi="FangSong" w:eastAsia="FangSong" w:cs="FangSong"/>
          <w:sz w:val="52"/>
          <w:szCs w:val="52"/>
          <w:spacing w:val="9"/>
        </w:rPr>
        <w:t xml:space="preserve"> </w:t>
      </w:r>
      <w:r>
        <w:rPr>
          <w:rFonts w:ascii="FangSong" w:hAnsi="FangSong" w:eastAsia="FangSong" w:cs="FangSong"/>
          <w:sz w:val="52"/>
          <w:szCs w:val="52"/>
        </w:rPr>
        <w:t>成绩公开、公示。</w:t>
      </w:r>
    </w:p>
    <w:p>
      <w:pPr>
        <w:ind w:firstLine="1055"/>
        <w:spacing w:before="47" w:line="304" w:lineRule="auto"/>
        <w:rPr>
          <w:rFonts w:ascii="FangSong" w:hAnsi="FangSong" w:eastAsia="FangSong" w:cs="FangSong"/>
          <w:sz w:val="52"/>
          <w:szCs w:val="52"/>
        </w:rPr>
      </w:pPr>
      <w:r>
        <w:rPr>
          <w:rFonts w:ascii="FangSong" w:hAnsi="FangSong" w:eastAsia="FangSong" w:cs="FangSong"/>
          <w:sz w:val="52"/>
          <w:szCs w:val="52"/>
          <w:spacing w:val="46"/>
        </w:rPr>
        <w:t>学术专长评分不合格者(低于60</w:t>
      </w:r>
      <w:r>
        <w:rPr>
          <w:rFonts w:ascii="FangSong" w:hAnsi="FangSong" w:eastAsia="FangSong" w:cs="FangSong"/>
          <w:sz w:val="52"/>
          <w:szCs w:val="52"/>
          <w:spacing w:val="-27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46"/>
        </w:rPr>
        <w:t>分(不含))不予推荐，所</w:t>
      </w:r>
      <w:r>
        <w:rPr>
          <w:rFonts w:ascii="FangSong" w:hAnsi="FangSong" w:eastAsia="FangSong" w:cs="FangSong"/>
          <w:sz w:val="52"/>
          <w:szCs w:val="52"/>
          <w:spacing w:val="45"/>
        </w:rPr>
        <w:t>有申请</w:t>
      </w:r>
      <w:r>
        <w:rPr>
          <w:rFonts w:ascii="FangSong" w:hAnsi="FangSong" w:eastAsia="FangSong" w:cs="FangSong"/>
          <w:sz w:val="52"/>
          <w:szCs w:val="52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6"/>
        </w:rPr>
        <w:t>者的综合评分材料须完整保留。</w:t>
      </w:r>
    </w:p>
    <w:p>
      <w:pPr>
        <w:ind w:right="64" w:firstLine="1055"/>
        <w:spacing w:before="2" w:line="290" w:lineRule="auto"/>
        <w:jc w:val="both"/>
        <w:rPr>
          <w:rFonts w:ascii="FangSong" w:hAnsi="FangSong" w:eastAsia="FangSong" w:cs="FangSong"/>
          <w:sz w:val="52"/>
          <w:szCs w:val="52"/>
        </w:rPr>
      </w:pPr>
      <w:r>
        <w:rPr>
          <w:rFonts w:ascii="FangSong" w:hAnsi="FangSong" w:eastAsia="FangSong" w:cs="FangSong"/>
          <w:sz w:val="52"/>
          <w:szCs w:val="52"/>
          <w:spacing w:val="-1"/>
        </w:rPr>
        <w:t>每个学科竞赛获奖团队限推一名特殊学术专长生，若获奖团队成员存</w:t>
      </w:r>
      <w:r>
        <w:rPr>
          <w:rFonts w:ascii="FangSong" w:hAnsi="FangSong" w:eastAsia="FangSong" w:cs="FangSong"/>
          <w:sz w:val="52"/>
          <w:szCs w:val="52"/>
          <w:spacing w:val="9"/>
        </w:rPr>
        <w:t xml:space="preserve"> </w:t>
      </w:r>
      <w:r>
        <w:rPr>
          <w:rFonts w:ascii="FangSong" w:hAnsi="FangSong" w:eastAsia="FangSong" w:cs="FangSong"/>
          <w:sz w:val="52"/>
          <w:szCs w:val="52"/>
        </w:rPr>
        <w:t>在学院交叉的，则由教务处及相关学院组成联合审核小组，组织学术专长</w:t>
      </w:r>
      <w:r>
        <w:rPr>
          <w:rFonts w:ascii="FangSong" w:hAnsi="FangSong" w:eastAsia="FangSong" w:cs="FangSong"/>
          <w:sz w:val="52"/>
          <w:szCs w:val="52"/>
          <w:spacing w:val="1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-9"/>
        </w:rPr>
        <w:t>评审。</w:t>
      </w:r>
    </w:p>
    <w:p>
      <w:pPr>
        <w:ind w:left="1055"/>
        <w:spacing w:before="27" w:line="225" w:lineRule="auto"/>
        <w:rPr>
          <w:rFonts w:ascii="FangSong" w:hAnsi="FangSong" w:eastAsia="FangSong" w:cs="FangSong"/>
          <w:sz w:val="52"/>
          <w:szCs w:val="52"/>
        </w:rPr>
      </w:pPr>
      <w:r>
        <w:rPr>
          <w:rFonts w:ascii="FangSong" w:hAnsi="FangSong" w:eastAsia="FangSong" w:cs="FangSong"/>
          <w:sz w:val="52"/>
          <w:szCs w:val="52"/>
          <w:spacing w:val="11"/>
        </w:rPr>
        <w:t>三、科研积分认定标准及原则</w:t>
      </w:r>
    </w:p>
    <w:p>
      <w:pPr>
        <w:ind w:right="827" w:firstLine="1055"/>
        <w:spacing w:before="176" w:line="301" w:lineRule="auto"/>
        <w:rPr>
          <w:rFonts w:ascii="FangSong" w:hAnsi="FangSong" w:eastAsia="FangSong" w:cs="FangSong"/>
          <w:sz w:val="52"/>
          <w:szCs w:val="52"/>
        </w:rPr>
      </w:pPr>
      <w:r>
        <w:rPr>
          <w:rFonts w:ascii="FangSong" w:hAnsi="FangSong" w:eastAsia="FangSong" w:cs="FangSong"/>
          <w:sz w:val="52"/>
          <w:szCs w:val="52"/>
          <w:spacing w:val="9"/>
        </w:rPr>
        <w:t>本文中的科研积分认定标准与《杭州电子科技大学本科学生“科</w:t>
      </w:r>
      <w:r>
        <w:rPr>
          <w:rFonts w:ascii="FangSong" w:hAnsi="FangSong" w:eastAsia="FangSong" w:cs="FangSong"/>
          <w:sz w:val="52"/>
          <w:szCs w:val="52"/>
          <w:spacing w:val="10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30"/>
        </w:rPr>
        <w:t>研育人”管理办法》(杭电教〔2020〕85号)相同。</w:t>
      </w:r>
    </w:p>
    <w:p>
      <w:pPr>
        <w:spacing w:line="301" w:lineRule="auto"/>
        <w:sectPr>
          <w:footerReference w:type="default" r:id="rId12"/>
          <w:pgSz w:w="22117" w:h="31680"/>
          <w:pgMar w:top="2692" w:right="2961" w:bottom="2407" w:left="2448" w:header="0" w:footer="2152" w:gutter="0"/>
        </w:sectPr>
        <w:rPr>
          <w:rFonts w:ascii="FangSong" w:hAnsi="FangSong" w:eastAsia="FangSong" w:cs="FangSong"/>
          <w:sz w:val="52"/>
          <w:szCs w:val="52"/>
        </w:rPr>
      </w:pPr>
    </w:p>
    <w:p>
      <w:pPr>
        <w:ind w:left="5970"/>
        <w:spacing w:before="155" w:line="220" w:lineRule="auto"/>
        <w:rPr>
          <w:rFonts w:ascii="SimSun" w:hAnsi="SimSun" w:eastAsia="SimSun" w:cs="SimSun"/>
          <w:sz w:val="49"/>
          <w:szCs w:val="49"/>
        </w:rPr>
      </w:pPr>
      <w:r>
        <w:rPr>
          <w:rFonts w:ascii="SimSun" w:hAnsi="SimSun" w:eastAsia="SimSun" w:cs="SimSun"/>
          <w:sz w:val="49"/>
          <w:szCs w:val="49"/>
          <w:spacing w:val="6"/>
        </w:rPr>
        <w:t>表1科研积分认定标准</w:t>
      </w:r>
    </w:p>
    <w:p>
      <w:pPr>
        <w:spacing w:line="78" w:lineRule="exact"/>
        <w:rPr/>
      </w:pPr>
      <w:r/>
    </w:p>
    <w:tbl>
      <w:tblPr>
        <w:tblStyle w:val="TableNormal"/>
        <w:tblW w:w="1637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46"/>
        <w:gridCol w:w="4316"/>
        <w:gridCol w:w="3952"/>
        <w:gridCol w:w="4019"/>
        <w:gridCol w:w="1841"/>
      </w:tblGrid>
      <w:tr>
        <w:trPr>
          <w:trHeight w:val="600" w:hRule="atLeast"/>
        </w:trPr>
        <w:tc>
          <w:tcPr>
            <w:tcW w:w="2246" w:type="dxa"/>
            <w:vAlign w:val="top"/>
          </w:tcPr>
          <w:p>
            <w:pPr>
              <w:pStyle w:val="TableText"/>
              <w:ind w:left="208"/>
              <w:spacing w:before="90" w:line="205" w:lineRule="auto"/>
              <w:rPr/>
            </w:pPr>
            <w:r>
              <w:rPr>
                <w:spacing w:val="10"/>
              </w:rPr>
              <w:t>项目名称</w:t>
            </w:r>
          </w:p>
        </w:tc>
        <w:tc>
          <w:tcPr>
            <w:tcW w:w="12287" w:type="dxa"/>
            <w:vAlign w:val="top"/>
            <w:gridSpan w:val="3"/>
          </w:tcPr>
          <w:p>
            <w:pPr>
              <w:pStyle w:val="TableText"/>
              <w:ind w:left="5079"/>
              <w:spacing w:before="80" w:line="209" w:lineRule="auto"/>
              <w:rPr/>
            </w:pPr>
            <w:r>
              <w:rPr>
                <w:b/>
                <w:bCs/>
                <w:spacing w:val="1"/>
              </w:rPr>
              <w:t>内容与标准</w:t>
            </w:r>
          </w:p>
        </w:tc>
        <w:tc>
          <w:tcPr>
            <w:tcW w:w="1841" w:type="dxa"/>
            <w:vAlign w:val="top"/>
          </w:tcPr>
          <w:p>
            <w:pPr>
              <w:pStyle w:val="TableText"/>
              <w:ind w:left="238"/>
              <w:spacing w:before="87" w:line="206" w:lineRule="auto"/>
              <w:rPr/>
            </w:pPr>
            <w:r>
              <w:rPr>
                <w:spacing w:val="10"/>
              </w:rPr>
              <w:t>积分数</w:t>
            </w:r>
          </w:p>
        </w:tc>
      </w:tr>
      <w:tr>
        <w:trPr>
          <w:trHeight w:val="593" w:hRule="atLeast"/>
        </w:trPr>
        <w:tc>
          <w:tcPr>
            <w:tcW w:w="2246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146" w:line="220" w:lineRule="auto"/>
              <w:rPr/>
            </w:pPr>
            <w:r>
              <w:rPr>
                <w:spacing w:val="9"/>
              </w:rPr>
              <w:t>学科竞赛</w:t>
            </w:r>
          </w:p>
        </w:tc>
        <w:tc>
          <w:tcPr>
            <w:tcW w:w="431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27" w:right="205" w:hanging="607"/>
              <w:spacing w:before="317" w:line="248" w:lineRule="auto"/>
              <w:rPr/>
            </w:pPr>
            <w:r>
              <w:rPr>
                <w:spacing w:val="6"/>
              </w:rPr>
              <w:t>国家级学科竞赛(含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国际赛)获奖</w:t>
            </w:r>
          </w:p>
        </w:tc>
        <w:tc>
          <w:tcPr>
            <w:tcW w:w="7971" w:type="dxa"/>
            <w:vAlign w:val="top"/>
            <w:gridSpan w:val="2"/>
          </w:tcPr>
          <w:p>
            <w:pPr>
              <w:pStyle w:val="TableText"/>
              <w:ind w:left="172"/>
              <w:spacing w:before="85" w:line="204" w:lineRule="auto"/>
              <w:rPr/>
            </w:pPr>
            <w:r>
              <w:rPr>
                <w:spacing w:val="16"/>
              </w:rPr>
              <w:t>一等奖(特等奖)</w:t>
            </w:r>
          </w:p>
        </w:tc>
        <w:tc>
          <w:tcPr>
            <w:tcW w:w="1841" w:type="dxa"/>
            <w:vAlign w:val="top"/>
          </w:tcPr>
          <w:p>
            <w:pPr>
              <w:pStyle w:val="TableText"/>
              <w:ind w:left="805"/>
              <w:spacing w:before="132" w:line="185" w:lineRule="auto"/>
              <w:rPr/>
            </w:pPr>
            <w:r>
              <w:rPr/>
              <w:t>6</w:t>
            </w:r>
          </w:p>
        </w:tc>
      </w:tr>
      <w:tr>
        <w:trPr>
          <w:trHeight w:val="597" w:hRule="atLeast"/>
        </w:trPr>
        <w:tc>
          <w:tcPr>
            <w:tcW w:w="22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1" w:type="dxa"/>
            <w:vAlign w:val="top"/>
            <w:gridSpan w:val="2"/>
          </w:tcPr>
          <w:p>
            <w:pPr>
              <w:pStyle w:val="TableText"/>
              <w:ind w:left="172"/>
              <w:spacing w:before="84" w:line="206" w:lineRule="auto"/>
              <w:rPr/>
            </w:pPr>
            <w:r>
              <w:rPr>
                <w:color w:val="504050"/>
                <w:spacing w:val="10"/>
              </w:rPr>
              <w:t>二</w:t>
            </w:r>
            <w:r>
              <w:rPr>
                <w:spacing w:val="10"/>
              </w:rPr>
              <w:t>等奖</w:t>
            </w:r>
          </w:p>
        </w:tc>
        <w:tc>
          <w:tcPr>
            <w:tcW w:w="1841" w:type="dxa"/>
            <w:vAlign w:val="top"/>
          </w:tcPr>
          <w:p>
            <w:pPr>
              <w:pStyle w:val="TableText"/>
              <w:ind w:left="805"/>
              <w:spacing w:before="131" w:line="187" w:lineRule="auto"/>
              <w:rPr/>
            </w:pPr>
            <w:r>
              <w:rPr/>
              <w:t>5</w:t>
            </w:r>
          </w:p>
        </w:tc>
      </w:tr>
      <w:tr>
        <w:trPr>
          <w:trHeight w:val="611" w:hRule="atLeast"/>
        </w:trPr>
        <w:tc>
          <w:tcPr>
            <w:tcW w:w="22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1" w:type="dxa"/>
            <w:vAlign w:val="top"/>
            <w:gridSpan w:val="2"/>
          </w:tcPr>
          <w:p>
            <w:pPr>
              <w:pStyle w:val="TableText"/>
              <w:ind w:left="172"/>
              <w:spacing w:before="94" w:line="208" w:lineRule="auto"/>
              <w:rPr/>
            </w:pPr>
            <w:r>
              <w:rPr>
                <w:color w:val="303040"/>
                <w:spacing w:val="10"/>
              </w:rPr>
              <w:t>三等奖</w:t>
            </w:r>
          </w:p>
        </w:tc>
        <w:tc>
          <w:tcPr>
            <w:tcW w:w="1841" w:type="dxa"/>
            <w:vAlign w:val="top"/>
          </w:tcPr>
          <w:p>
            <w:pPr>
              <w:pStyle w:val="TableText"/>
              <w:ind w:left="805"/>
              <w:spacing w:before="140" w:line="189" w:lineRule="auto"/>
              <w:rPr/>
            </w:pPr>
            <w:r>
              <w:rPr/>
              <w:t>4</w:t>
            </w:r>
          </w:p>
        </w:tc>
      </w:tr>
      <w:tr>
        <w:trPr>
          <w:trHeight w:val="593" w:hRule="atLeast"/>
        </w:trPr>
        <w:tc>
          <w:tcPr>
            <w:tcW w:w="22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37"/>
              <w:spacing w:before="346" w:line="220" w:lineRule="auto"/>
              <w:rPr/>
            </w:pPr>
            <w:r>
              <w:rPr>
                <w:spacing w:val="6"/>
              </w:rPr>
              <w:t>省级(赛区)学科竞</w:t>
            </w:r>
          </w:p>
          <w:p>
            <w:pPr>
              <w:pStyle w:val="TableText"/>
              <w:ind w:left="1470"/>
              <w:spacing w:before="93" w:line="221" w:lineRule="auto"/>
              <w:rPr/>
            </w:pPr>
            <w:r>
              <w:rPr>
                <w:color w:val="303040"/>
                <w:spacing w:val="33"/>
              </w:rPr>
              <w:t>赛项目</w:t>
            </w:r>
          </w:p>
        </w:tc>
        <w:tc>
          <w:tcPr>
            <w:tcW w:w="7971" w:type="dxa"/>
            <w:vAlign w:val="top"/>
            <w:gridSpan w:val="2"/>
          </w:tcPr>
          <w:p>
            <w:pPr>
              <w:pStyle w:val="TableText"/>
              <w:ind w:left="172"/>
              <w:spacing w:before="85" w:line="204" w:lineRule="auto"/>
              <w:rPr/>
            </w:pPr>
            <w:r>
              <w:rPr>
                <w:spacing w:val="16"/>
              </w:rPr>
              <w:t>一等奖(特等奖)</w:t>
            </w:r>
          </w:p>
        </w:tc>
        <w:tc>
          <w:tcPr>
            <w:tcW w:w="1841" w:type="dxa"/>
            <w:vAlign w:val="top"/>
          </w:tcPr>
          <w:p>
            <w:pPr>
              <w:pStyle w:val="TableText"/>
              <w:ind w:left="805"/>
              <w:spacing w:before="132" w:line="185" w:lineRule="auto"/>
              <w:rPr/>
            </w:pPr>
            <w:r>
              <w:rPr/>
              <w:t>4</w:t>
            </w:r>
          </w:p>
        </w:tc>
      </w:tr>
      <w:tr>
        <w:trPr>
          <w:trHeight w:val="602" w:hRule="atLeast"/>
        </w:trPr>
        <w:tc>
          <w:tcPr>
            <w:tcW w:w="22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1" w:type="dxa"/>
            <w:vAlign w:val="top"/>
            <w:gridSpan w:val="2"/>
          </w:tcPr>
          <w:p>
            <w:pPr>
              <w:pStyle w:val="TableText"/>
              <w:ind w:left="172"/>
              <w:spacing w:before="89" w:line="206" w:lineRule="auto"/>
              <w:rPr/>
            </w:pPr>
            <w:r>
              <w:rPr>
                <w:spacing w:val="10"/>
              </w:rPr>
              <w:t>二等奖</w:t>
            </w:r>
          </w:p>
        </w:tc>
        <w:tc>
          <w:tcPr>
            <w:tcW w:w="1841" w:type="dxa"/>
            <w:vAlign w:val="top"/>
          </w:tcPr>
          <w:p>
            <w:pPr>
              <w:pStyle w:val="TableText"/>
              <w:ind w:left="805"/>
              <w:spacing w:before="136" w:line="187" w:lineRule="auto"/>
              <w:rPr/>
            </w:pPr>
            <w:r>
              <w:rPr/>
              <w:t>3</w:t>
            </w:r>
          </w:p>
        </w:tc>
      </w:tr>
      <w:tr>
        <w:trPr>
          <w:trHeight w:val="611" w:hRule="atLeast"/>
        </w:trPr>
        <w:tc>
          <w:tcPr>
            <w:tcW w:w="22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1" w:type="dxa"/>
            <w:vAlign w:val="top"/>
            <w:gridSpan w:val="2"/>
          </w:tcPr>
          <w:p>
            <w:pPr>
              <w:pStyle w:val="TableText"/>
              <w:ind w:left="172"/>
              <w:spacing w:before="96" w:line="207" w:lineRule="auto"/>
              <w:rPr/>
            </w:pPr>
            <w:r>
              <w:rPr>
                <w:color w:val="906050"/>
                <w:spacing w:val="10"/>
              </w:rPr>
              <w:t>三</w:t>
            </w:r>
            <w:r>
              <w:rPr>
                <w:spacing w:val="10"/>
              </w:rPr>
              <w:t>等奖</w:t>
            </w:r>
          </w:p>
        </w:tc>
        <w:tc>
          <w:tcPr>
            <w:tcW w:w="1841" w:type="dxa"/>
            <w:vAlign w:val="top"/>
          </w:tcPr>
          <w:p>
            <w:pPr>
              <w:pStyle w:val="TableText"/>
              <w:ind w:left="805"/>
              <w:spacing w:before="140" w:line="189" w:lineRule="auto"/>
              <w:rPr/>
            </w:pPr>
            <w:r>
              <w:rPr/>
              <w:t>2</w:t>
            </w:r>
          </w:p>
        </w:tc>
      </w:tr>
      <w:tr>
        <w:trPr>
          <w:trHeight w:val="602" w:hRule="atLeast"/>
        </w:trPr>
        <w:tc>
          <w:tcPr>
            <w:tcW w:w="2246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146" w:line="220" w:lineRule="auto"/>
              <w:rPr/>
            </w:pPr>
            <w:r>
              <w:rPr>
                <w:spacing w:val="25"/>
              </w:rPr>
              <w:t>科研项目</w:t>
            </w:r>
          </w:p>
        </w:tc>
        <w:tc>
          <w:tcPr>
            <w:tcW w:w="431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31" w:right="375" w:firstLine="17"/>
              <w:spacing w:before="333" w:line="244" w:lineRule="auto"/>
              <w:rPr/>
            </w:pPr>
            <w:r>
              <w:rPr>
                <w:spacing w:val="7"/>
              </w:rPr>
              <w:t>科研项目(大创项</w:t>
            </w:r>
            <w:r>
              <w:rPr/>
              <w:t xml:space="preserve"> </w:t>
            </w:r>
            <w:r>
              <w:rPr>
                <w:spacing w:val="16"/>
              </w:rPr>
              <w:t>目、新苗项目等)</w:t>
            </w:r>
          </w:p>
        </w:tc>
        <w:tc>
          <w:tcPr>
            <w:tcW w:w="7971" w:type="dxa"/>
            <w:vAlign w:val="top"/>
            <w:gridSpan w:val="2"/>
          </w:tcPr>
          <w:p>
            <w:pPr>
              <w:pStyle w:val="TableText"/>
              <w:ind w:left="172"/>
              <w:spacing w:before="92" w:line="205" w:lineRule="auto"/>
              <w:rPr/>
            </w:pPr>
            <w:r>
              <w:rPr>
                <w:spacing w:val="13"/>
              </w:rPr>
              <w:t>国家级</w:t>
            </w:r>
          </w:p>
        </w:tc>
        <w:tc>
          <w:tcPr>
            <w:tcW w:w="1841" w:type="dxa"/>
            <w:vAlign w:val="top"/>
          </w:tcPr>
          <w:p>
            <w:pPr>
              <w:pStyle w:val="TableText"/>
              <w:ind w:left="805"/>
              <w:spacing w:before="136" w:line="187" w:lineRule="auto"/>
              <w:rPr/>
            </w:pPr>
            <w:r>
              <w:rPr/>
              <w:t>5</w:t>
            </w:r>
          </w:p>
        </w:tc>
      </w:tr>
      <w:tr>
        <w:trPr>
          <w:trHeight w:val="602" w:hRule="atLeast"/>
        </w:trPr>
        <w:tc>
          <w:tcPr>
            <w:tcW w:w="22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1" w:type="dxa"/>
            <w:vAlign w:val="top"/>
            <w:gridSpan w:val="2"/>
          </w:tcPr>
          <w:p>
            <w:pPr>
              <w:pStyle w:val="TableText"/>
              <w:ind w:left="172"/>
              <w:spacing w:before="92" w:line="205" w:lineRule="auto"/>
              <w:rPr/>
            </w:pPr>
            <w:r>
              <w:rPr>
                <w:spacing w:val="18"/>
              </w:rPr>
              <w:t>省级</w:t>
            </w:r>
          </w:p>
        </w:tc>
        <w:tc>
          <w:tcPr>
            <w:tcW w:w="1841" w:type="dxa"/>
            <w:vAlign w:val="top"/>
          </w:tcPr>
          <w:p>
            <w:pPr>
              <w:pStyle w:val="TableText"/>
              <w:ind w:left="805"/>
              <w:spacing w:before="136" w:line="187" w:lineRule="auto"/>
              <w:rPr/>
            </w:pPr>
            <w:r>
              <w:rPr>
                <w:color w:val="001020"/>
              </w:rPr>
              <w:t>4</w:t>
            </w:r>
          </w:p>
        </w:tc>
      </w:tr>
      <w:tr>
        <w:trPr>
          <w:trHeight w:val="620" w:hRule="atLeast"/>
        </w:trPr>
        <w:tc>
          <w:tcPr>
            <w:tcW w:w="22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1" w:type="dxa"/>
            <w:vAlign w:val="top"/>
            <w:gridSpan w:val="2"/>
          </w:tcPr>
          <w:p>
            <w:pPr>
              <w:pStyle w:val="TableText"/>
              <w:ind w:left="172"/>
              <w:spacing w:before="103" w:line="208" w:lineRule="auto"/>
              <w:rPr/>
            </w:pPr>
            <w:r>
              <w:rPr>
                <w:spacing w:val="18"/>
              </w:rPr>
              <w:t>校级</w:t>
            </w:r>
          </w:p>
        </w:tc>
        <w:tc>
          <w:tcPr>
            <w:tcW w:w="1841" w:type="dxa"/>
            <w:vAlign w:val="top"/>
          </w:tcPr>
          <w:p>
            <w:pPr>
              <w:pStyle w:val="TableText"/>
              <w:ind w:left="805"/>
              <w:spacing w:before="146" w:line="190" w:lineRule="auto"/>
              <w:rPr/>
            </w:pPr>
            <w:r>
              <w:rPr/>
              <w:t>3</w:t>
            </w:r>
          </w:p>
        </w:tc>
      </w:tr>
      <w:tr>
        <w:trPr>
          <w:trHeight w:val="593" w:hRule="atLeast"/>
        </w:trPr>
        <w:tc>
          <w:tcPr>
            <w:tcW w:w="2246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147" w:line="220" w:lineRule="auto"/>
              <w:rPr/>
            </w:pPr>
            <w:r>
              <w:rPr>
                <w:spacing w:val="10"/>
              </w:rPr>
              <w:t>科研成果</w:t>
            </w:r>
          </w:p>
        </w:tc>
        <w:tc>
          <w:tcPr>
            <w:tcW w:w="4316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5"/>
              <w:spacing w:before="147" w:line="221" w:lineRule="auto"/>
              <w:rPr/>
            </w:pPr>
            <w:r>
              <w:rPr>
                <w:color w:val="404050"/>
                <w:spacing w:val="10"/>
              </w:rPr>
              <w:t>学术论文</w:t>
            </w:r>
          </w:p>
        </w:tc>
        <w:tc>
          <w:tcPr>
            <w:tcW w:w="7971" w:type="dxa"/>
            <w:vAlign w:val="top"/>
            <w:gridSpan w:val="2"/>
          </w:tcPr>
          <w:p>
            <w:pPr>
              <w:pStyle w:val="TableText"/>
              <w:ind w:left="172"/>
              <w:spacing w:before="88" w:line="203" w:lineRule="auto"/>
              <w:rPr/>
            </w:pPr>
            <w:r>
              <w:rPr>
                <w:color w:val="401010"/>
                <w:spacing w:val="9"/>
              </w:rPr>
              <w:t>一</w:t>
            </w:r>
            <w:r>
              <w:rPr>
                <w:spacing w:val="9"/>
              </w:rPr>
              <w:t>级及以上期刊</w:t>
            </w:r>
          </w:p>
        </w:tc>
        <w:tc>
          <w:tcPr>
            <w:tcW w:w="1841" w:type="dxa"/>
            <w:vAlign w:val="top"/>
          </w:tcPr>
          <w:p>
            <w:pPr>
              <w:pStyle w:val="TableText"/>
              <w:ind w:left="805"/>
              <w:spacing w:before="132" w:line="185" w:lineRule="auto"/>
              <w:rPr/>
            </w:pPr>
            <w:r>
              <w:rPr/>
              <w:t>8</w:t>
            </w:r>
          </w:p>
        </w:tc>
      </w:tr>
      <w:tr>
        <w:trPr>
          <w:trHeight w:val="593" w:hRule="atLeast"/>
        </w:trPr>
        <w:tc>
          <w:tcPr>
            <w:tcW w:w="22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1" w:type="dxa"/>
            <w:vAlign w:val="top"/>
            <w:gridSpan w:val="2"/>
          </w:tcPr>
          <w:p>
            <w:pPr>
              <w:pStyle w:val="TableText"/>
              <w:ind w:left="172"/>
              <w:spacing w:before="83" w:line="205" w:lineRule="auto"/>
              <w:rPr/>
            </w:pPr>
            <w:r>
              <w:rPr>
                <w:spacing w:val="6"/>
              </w:rPr>
              <w:t>核心期刊/国际会议/</w:t>
            </w:r>
            <w:r>
              <w:rPr/>
              <w:t>GF</w:t>
            </w:r>
            <w:r>
              <w:rPr>
                <w:spacing w:val="6"/>
              </w:rPr>
              <w:t>报告</w:t>
            </w:r>
          </w:p>
        </w:tc>
        <w:tc>
          <w:tcPr>
            <w:tcW w:w="1841" w:type="dxa"/>
            <w:vAlign w:val="top"/>
            <w:textDirection w:val="btLr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"/>
              <w:spacing w:before="147" w:line="183" w:lineRule="auto"/>
              <w:rPr/>
            </w:pPr>
            <w:r>
              <w:rPr>
                <w:spacing w:val="-1"/>
              </w:rPr>
              <w:t>U7</w:t>
            </w:r>
          </w:p>
        </w:tc>
      </w:tr>
      <w:tr>
        <w:trPr>
          <w:trHeight w:val="593" w:hRule="atLeast"/>
        </w:trPr>
        <w:tc>
          <w:tcPr>
            <w:tcW w:w="22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1" w:type="dxa"/>
            <w:vAlign w:val="top"/>
            <w:gridSpan w:val="2"/>
          </w:tcPr>
          <w:p>
            <w:pPr>
              <w:pStyle w:val="TableText"/>
              <w:ind w:left="172"/>
              <w:spacing w:before="85" w:line="204" w:lineRule="auto"/>
              <w:rPr/>
            </w:pPr>
            <w:r>
              <w:rPr>
                <w:spacing w:val="6"/>
              </w:rPr>
              <w:t>一般期刊/国内会议</w:t>
            </w:r>
          </w:p>
        </w:tc>
        <w:tc>
          <w:tcPr>
            <w:tcW w:w="1841" w:type="dxa"/>
            <w:vAlign w:val="top"/>
          </w:tcPr>
          <w:p>
            <w:pPr>
              <w:pStyle w:val="TableText"/>
              <w:ind w:left="805"/>
              <w:spacing w:before="132" w:line="185" w:lineRule="auto"/>
              <w:rPr/>
            </w:pPr>
            <w:r>
              <w:rPr/>
              <w:t>2</w:t>
            </w:r>
          </w:p>
        </w:tc>
      </w:tr>
      <w:tr>
        <w:trPr>
          <w:trHeight w:val="597" w:hRule="atLeast"/>
        </w:trPr>
        <w:tc>
          <w:tcPr>
            <w:tcW w:w="22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6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7"/>
              <w:spacing w:before="146" w:line="220" w:lineRule="auto"/>
              <w:rPr/>
            </w:pPr>
            <w:r>
              <w:rPr>
                <w:spacing w:val="6"/>
              </w:rPr>
              <w:t>学术专著、教材等</w:t>
            </w:r>
          </w:p>
        </w:tc>
        <w:tc>
          <w:tcPr>
            <w:tcW w:w="7971" w:type="dxa"/>
            <w:vAlign w:val="top"/>
            <w:gridSpan w:val="2"/>
          </w:tcPr>
          <w:p>
            <w:pPr>
              <w:pStyle w:val="TableText"/>
              <w:ind w:left="172"/>
              <w:spacing w:before="84" w:line="206" w:lineRule="auto"/>
              <w:rPr/>
            </w:pPr>
            <w:r>
              <w:rPr>
                <w:spacing w:val="6"/>
              </w:rPr>
              <w:t>独著或主编的教材、专著</w:t>
            </w:r>
          </w:p>
        </w:tc>
        <w:tc>
          <w:tcPr>
            <w:tcW w:w="1841" w:type="dxa"/>
            <w:vAlign w:val="top"/>
          </w:tcPr>
          <w:p>
            <w:pPr>
              <w:pStyle w:val="TableText"/>
              <w:ind w:left="805"/>
              <w:spacing w:before="133" w:line="186" w:lineRule="auto"/>
              <w:rPr/>
            </w:pPr>
            <w:r>
              <w:rPr/>
              <w:t>8</w:t>
            </w:r>
          </w:p>
        </w:tc>
      </w:tr>
      <w:tr>
        <w:trPr>
          <w:trHeight w:val="593" w:hRule="atLeast"/>
        </w:trPr>
        <w:tc>
          <w:tcPr>
            <w:tcW w:w="22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4" w:right="91" w:firstLine="8"/>
              <w:spacing w:before="19" w:line="242" w:lineRule="auto"/>
              <w:rPr/>
            </w:pPr>
            <w:r>
              <w:rPr>
                <w:spacing w:val="6"/>
              </w:rPr>
              <w:t>参与教师主编的教</w:t>
            </w:r>
            <w:r>
              <w:rPr>
                <w:spacing w:val="2"/>
              </w:rPr>
              <w:t xml:space="preserve"> </w:t>
            </w:r>
            <w:r>
              <w:rPr>
                <w:spacing w:val="11"/>
              </w:rPr>
              <w:t>材、专著</w:t>
            </w:r>
          </w:p>
        </w:tc>
        <w:tc>
          <w:tcPr>
            <w:tcW w:w="4019" w:type="dxa"/>
            <w:vAlign w:val="top"/>
          </w:tcPr>
          <w:p>
            <w:pPr>
              <w:pStyle w:val="TableText"/>
              <w:ind w:left="160"/>
              <w:spacing w:before="88" w:line="203" w:lineRule="auto"/>
              <w:rPr/>
            </w:pPr>
            <w:r>
              <w:rPr>
                <w:spacing w:val="5"/>
              </w:rPr>
              <w:t>大于20000字</w:t>
            </w:r>
          </w:p>
        </w:tc>
        <w:tc>
          <w:tcPr>
            <w:tcW w:w="1841" w:type="dxa"/>
            <w:vAlign w:val="top"/>
          </w:tcPr>
          <w:p>
            <w:pPr>
              <w:pStyle w:val="TableText"/>
              <w:ind w:left="805"/>
              <w:spacing w:before="134" w:line="184" w:lineRule="auto"/>
              <w:rPr/>
            </w:pPr>
            <w:r>
              <w:rPr/>
              <w:t>4</w:t>
            </w:r>
          </w:p>
        </w:tc>
      </w:tr>
      <w:tr>
        <w:trPr>
          <w:trHeight w:val="611" w:hRule="atLeast"/>
        </w:trPr>
        <w:tc>
          <w:tcPr>
            <w:tcW w:w="22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19" w:type="dxa"/>
            <w:vAlign w:val="top"/>
          </w:tcPr>
          <w:p>
            <w:pPr>
              <w:pStyle w:val="TableText"/>
              <w:ind w:left="160"/>
              <w:spacing w:before="96" w:line="207" w:lineRule="auto"/>
              <w:rPr/>
            </w:pPr>
            <w:r>
              <w:rPr>
                <w:spacing w:val="5"/>
              </w:rPr>
              <w:t>小于20000字</w:t>
            </w:r>
          </w:p>
        </w:tc>
        <w:tc>
          <w:tcPr>
            <w:tcW w:w="1841" w:type="dxa"/>
            <w:vAlign w:val="top"/>
          </w:tcPr>
          <w:p>
            <w:pPr>
              <w:pStyle w:val="TableText"/>
              <w:ind w:left="805"/>
              <w:spacing w:before="142" w:line="188" w:lineRule="auto"/>
              <w:rPr/>
            </w:pPr>
            <w:r>
              <w:rPr>
                <w:color w:val="102030"/>
              </w:rPr>
              <w:t>2</w:t>
            </w:r>
          </w:p>
        </w:tc>
      </w:tr>
      <w:tr>
        <w:trPr>
          <w:trHeight w:val="601" w:hRule="atLeast"/>
        </w:trPr>
        <w:tc>
          <w:tcPr>
            <w:tcW w:w="224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6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00"/>
              <w:spacing w:before="146" w:line="222" w:lineRule="auto"/>
              <w:rPr/>
            </w:pPr>
            <w:r>
              <w:rPr>
                <w:spacing w:val="20"/>
              </w:rPr>
              <w:t>专利</w:t>
            </w:r>
          </w:p>
        </w:tc>
        <w:tc>
          <w:tcPr>
            <w:tcW w:w="7971" w:type="dxa"/>
            <w:vAlign w:val="top"/>
            <w:gridSpan w:val="2"/>
          </w:tcPr>
          <w:p>
            <w:pPr>
              <w:pStyle w:val="TableText"/>
              <w:ind w:left="172"/>
              <w:spacing w:before="93" w:line="204" w:lineRule="auto"/>
              <w:rPr/>
            </w:pPr>
            <w:r>
              <w:rPr>
                <w:spacing w:val="12"/>
              </w:rPr>
              <w:t>发明专利</w:t>
            </w:r>
          </w:p>
        </w:tc>
        <w:tc>
          <w:tcPr>
            <w:tcW w:w="1841" w:type="dxa"/>
            <w:vAlign w:val="top"/>
          </w:tcPr>
          <w:p>
            <w:pPr>
              <w:pStyle w:val="TableText"/>
              <w:ind w:left="805"/>
              <w:spacing w:before="140" w:line="185" w:lineRule="auto"/>
              <w:rPr/>
            </w:pPr>
            <w:r>
              <w:rPr/>
              <w:t>6</w:t>
            </w:r>
          </w:p>
        </w:tc>
      </w:tr>
      <w:tr>
        <w:trPr>
          <w:trHeight w:val="595" w:hRule="atLeast"/>
        </w:trPr>
        <w:tc>
          <w:tcPr>
            <w:tcW w:w="22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1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1" w:type="dxa"/>
            <w:vAlign w:val="top"/>
            <w:gridSpan w:val="2"/>
          </w:tcPr>
          <w:p>
            <w:pPr>
              <w:pStyle w:val="TableText"/>
              <w:ind w:left="172"/>
              <w:spacing w:before="90" w:line="203" w:lineRule="auto"/>
              <w:rPr/>
            </w:pPr>
            <w:r>
              <w:rPr>
                <w:spacing w:val="9"/>
              </w:rPr>
              <w:t>实用新型专利</w:t>
            </w:r>
          </w:p>
        </w:tc>
        <w:tc>
          <w:tcPr>
            <w:tcW w:w="1841" w:type="dxa"/>
            <w:vAlign w:val="top"/>
          </w:tcPr>
          <w:p>
            <w:pPr>
              <w:pStyle w:val="TableText"/>
              <w:ind w:left="805"/>
              <w:spacing w:before="136" w:line="184" w:lineRule="auto"/>
              <w:rPr/>
            </w:pPr>
            <w:r>
              <w:rPr/>
              <w:t>3</w:t>
            </w:r>
          </w:p>
        </w:tc>
      </w:tr>
    </w:tbl>
    <w:p>
      <w:pPr>
        <w:ind w:left="1610"/>
        <w:spacing w:before="158" w:line="220" w:lineRule="auto"/>
        <w:rPr>
          <w:rFonts w:ascii="SimSun" w:hAnsi="SimSun" w:eastAsia="SimSun" w:cs="SimSun"/>
          <w:sz w:val="49"/>
          <w:szCs w:val="49"/>
        </w:rPr>
      </w:pPr>
      <w:r>
        <w:rPr>
          <w:rFonts w:ascii="SimSun" w:hAnsi="SimSun" w:eastAsia="SimSun" w:cs="SimSun"/>
          <w:sz w:val="49"/>
          <w:szCs w:val="49"/>
          <w:b/>
          <w:bCs/>
          <w:spacing w:val="-3"/>
        </w:rPr>
        <w:t>科研积分认定原则：</w:t>
      </w:r>
    </w:p>
    <w:p>
      <w:pPr>
        <w:ind w:left="1531"/>
        <w:spacing w:before="351" w:line="222" w:lineRule="auto"/>
        <w:rPr>
          <w:rFonts w:ascii="FangSong" w:hAnsi="FangSong" w:eastAsia="FangSong" w:cs="FangSong"/>
          <w:sz w:val="52"/>
          <w:szCs w:val="52"/>
        </w:rPr>
      </w:pPr>
      <w:r>
        <w:rPr>
          <w:rFonts w:ascii="FangSong" w:hAnsi="FangSong" w:eastAsia="FangSong" w:cs="FangSong"/>
          <w:sz w:val="52"/>
          <w:szCs w:val="52"/>
          <w:spacing w:val="51"/>
        </w:rPr>
        <w:t>①科研积分须在当年8月31日(含)之前获得。</w:t>
      </w:r>
    </w:p>
    <w:p>
      <w:pPr>
        <w:ind w:left="402" w:right="494" w:firstLine="1110"/>
        <w:spacing w:before="206" w:line="281" w:lineRule="auto"/>
        <w:rPr>
          <w:rFonts w:ascii="FangSong" w:hAnsi="FangSong" w:eastAsia="FangSong" w:cs="FangSong"/>
          <w:sz w:val="52"/>
          <w:szCs w:val="52"/>
        </w:rPr>
      </w:pPr>
      <w:r>
        <w:rPr>
          <w:rFonts w:ascii="FangSong" w:hAnsi="FangSong" w:eastAsia="FangSong" w:cs="FangSong"/>
          <w:sz w:val="52"/>
          <w:szCs w:val="52"/>
          <w:spacing w:val="8"/>
        </w:rPr>
        <w:t>②学科竞赛项目由教务处负责认定，科研项目由相关组织部门</w:t>
      </w:r>
      <w:r>
        <w:rPr>
          <w:rFonts w:ascii="FangSong" w:hAnsi="FangSong" w:eastAsia="FangSong" w:cs="FangSong"/>
          <w:sz w:val="52"/>
          <w:szCs w:val="52"/>
          <w:spacing w:val="11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6"/>
        </w:rPr>
        <w:t>负责认定。学科竞赛的科研积分计算以参赛队为单位，每人均可计</w:t>
      </w:r>
      <w:r>
        <w:rPr>
          <w:rFonts w:ascii="FangSong" w:hAnsi="FangSong" w:eastAsia="FangSong" w:cs="FangSong"/>
          <w:sz w:val="52"/>
          <w:szCs w:val="52"/>
          <w:spacing w:val="1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15"/>
        </w:rPr>
        <w:t>算满额积分，且原则上每队计分不超过5人。科研项目</w:t>
      </w:r>
      <w:r>
        <w:rPr>
          <w:rFonts w:ascii="FangSong" w:hAnsi="FangSong" w:eastAsia="FangSong" w:cs="FangSong"/>
          <w:sz w:val="52"/>
          <w:szCs w:val="52"/>
          <w:spacing w:val="14"/>
        </w:rPr>
        <w:t>的科研积分</w:t>
      </w:r>
      <w:r>
        <w:rPr>
          <w:rFonts w:ascii="FangSong" w:hAnsi="FangSong" w:eastAsia="FangSong" w:cs="FangSong"/>
          <w:sz w:val="52"/>
          <w:szCs w:val="52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6"/>
        </w:rPr>
        <w:t>计算以项目团队为单位，项目负责人计算满额积分，项目参与人员</w:t>
      </w:r>
      <w:r>
        <w:rPr>
          <w:rFonts w:ascii="FangSong" w:hAnsi="FangSong" w:eastAsia="FangSong" w:cs="FangSong"/>
          <w:sz w:val="52"/>
          <w:szCs w:val="52"/>
          <w:spacing w:val="10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15"/>
        </w:rPr>
        <w:t>积分减半，且原则上项目计分人员不超过5人。同一年度的同一学</w:t>
      </w:r>
      <w:r>
        <w:rPr>
          <w:rFonts w:ascii="FangSong" w:hAnsi="FangSong" w:eastAsia="FangSong" w:cs="FangSong"/>
          <w:sz w:val="52"/>
          <w:szCs w:val="52"/>
          <w:spacing w:val="10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6"/>
        </w:rPr>
        <w:t>科竞赛以最高获奖级别计分，同一年度的同一科研项目以最高立项</w:t>
      </w:r>
      <w:r>
        <w:rPr>
          <w:rFonts w:ascii="FangSong" w:hAnsi="FangSong" w:eastAsia="FangSong" w:cs="FangSong"/>
          <w:sz w:val="52"/>
          <w:szCs w:val="52"/>
          <w:spacing w:val="3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4"/>
        </w:rPr>
        <w:t>等级计分，原则上不累计计分；集体奖项与个人奖项有重复的，取</w:t>
      </w:r>
      <w:r>
        <w:rPr>
          <w:rFonts w:ascii="FangSong" w:hAnsi="FangSong" w:eastAsia="FangSong" w:cs="FangSong"/>
          <w:sz w:val="52"/>
          <w:szCs w:val="52"/>
          <w:spacing w:val="4"/>
        </w:rPr>
        <w:t xml:space="preserve">  </w:t>
      </w:r>
      <w:r>
        <w:rPr>
          <w:rFonts w:ascii="FangSong" w:hAnsi="FangSong" w:eastAsia="FangSong" w:cs="FangSong"/>
          <w:sz w:val="52"/>
          <w:szCs w:val="52"/>
          <w:spacing w:val="-21"/>
        </w:rPr>
        <w:t>最高分；同一项目跨年度再次获得更高级别奖项，计算差值予以累计。</w:t>
      </w:r>
    </w:p>
    <w:p>
      <w:pPr>
        <w:ind w:left="343" w:right="718" w:firstLine="1074"/>
        <w:spacing w:before="178" w:line="272" w:lineRule="auto"/>
        <w:rPr>
          <w:rFonts w:ascii="FangSong" w:hAnsi="FangSong" w:eastAsia="FangSong" w:cs="FangSong"/>
          <w:sz w:val="52"/>
          <w:szCs w:val="52"/>
        </w:rPr>
      </w:pPr>
      <w:r>
        <w:rPr>
          <w:rFonts w:ascii="FangSong" w:hAnsi="FangSong" w:eastAsia="FangSong" w:cs="FangSong"/>
          <w:sz w:val="52"/>
          <w:szCs w:val="52"/>
          <w:spacing w:val="7"/>
        </w:rPr>
        <w:t>③科研成果应与所学专业相关，以第一作者完成的成果方可计</w:t>
      </w:r>
      <w:r>
        <w:rPr>
          <w:rFonts w:ascii="FangSong" w:hAnsi="FangSong" w:eastAsia="FangSong" w:cs="FangSong"/>
          <w:sz w:val="52"/>
          <w:szCs w:val="52"/>
          <w:spacing w:val="9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8"/>
        </w:rPr>
        <w:t>算科研积分，成果可累计计分。参与教师主编的教材须由教师方提</w:t>
      </w:r>
      <w:r>
        <w:rPr>
          <w:rFonts w:ascii="FangSong" w:hAnsi="FangSong" w:eastAsia="FangSong" w:cs="FangSong"/>
          <w:sz w:val="52"/>
          <w:szCs w:val="52"/>
          <w:spacing w:val="3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6"/>
        </w:rPr>
        <w:t>供相应证明材料后予以认定，专利须授权后予以认定，期刊及出版</w:t>
      </w:r>
      <w:r>
        <w:rPr>
          <w:rFonts w:ascii="FangSong" w:hAnsi="FangSong" w:eastAsia="FangSong" w:cs="FangSong"/>
          <w:sz w:val="52"/>
          <w:szCs w:val="52"/>
          <w:spacing w:val="7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3"/>
        </w:rPr>
        <w:t>社认定级别以学校科学技术研究院最新规定为准。</w:t>
      </w:r>
    </w:p>
    <w:p>
      <w:pPr>
        <w:ind w:left="343" w:right="800" w:firstLine="1038"/>
        <w:spacing w:before="385" w:line="255" w:lineRule="auto"/>
        <w:rPr>
          <w:rFonts w:ascii="FangSong" w:hAnsi="FangSong" w:eastAsia="FangSong" w:cs="FangSong"/>
          <w:sz w:val="52"/>
          <w:szCs w:val="52"/>
        </w:rPr>
      </w:pPr>
      <w:r>
        <w:rPr>
          <w:rFonts w:ascii="FangSong" w:hAnsi="FangSong" w:eastAsia="FangSong" w:cs="FangSong"/>
          <w:sz w:val="52"/>
          <w:szCs w:val="52"/>
          <w:spacing w:val="15"/>
        </w:rPr>
        <w:t>④未列入表1的其他以第一作者获得的高水平创新科研成果，</w:t>
      </w:r>
      <w:r>
        <w:rPr>
          <w:rFonts w:ascii="FangSong" w:hAnsi="FangSong" w:eastAsia="FangSong" w:cs="FangSong"/>
          <w:sz w:val="52"/>
          <w:szCs w:val="52"/>
          <w:spacing w:val="6"/>
        </w:rPr>
        <w:t xml:space="preserve"> </w:t>
      </w:r>
      <w:r>
        <w:rPr>
          <w:rFonts w:ascii="FangSong" w:hAnsi="FangSong" w:eastAsia="FangSong" w:cs="FangSong"/>
          <w:sz w:val="52"/>
          <w:szCs w:val="52"/>
          <w:spacing w:val="3"/>
        </w:rPr>
        <w:t>须经遴选工作领导小组审定后予以计算相应积分。</w:t>
      </w:r>
    </w:p>
    <w:sectPr>
      <w:footerReference w:type="default" r:id="rId13"/>
      <w:pgSz w:w="22177" w:h="31681"/>
      <w:pgMar w:top="2692" w:right="3033" w:bottom="2530" w:left="2763" w:header="0" w:footer="2191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21"/>
      <w:spacing w:line="182" w:lineRule="auto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29"/>
      <w:spacing w:line="185" w:lineRule="auto"/>
      <w:rPr>
        <w:rFonts w:ascii="Times New Roman" w:hAnsi="Times New Roman" w:eastAsia="Times New Roman" w:cs="Times New Roman"/>
        <w:sz w:val="37"/>
        <w:szCs w:val="37"/>
      </w:rPr>
    </w:pPr>
    <w:r>
      <w:rPr>
        <w:rFonts w:ascii="Times New Roman" w:hAnsi="Times New Roman" w:eastAsia="Times New Roman" w:cs="Times New Roman"/>
        <w:sz w:val="37"/>
        <w:szCs w:val="37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99"/>
      <w:spacing w:line="182" w:lineRule="auto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64"/>
      <w:spacing w:before="1" w:line="181" w:lineRule="auto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38"/>
      <w:spacing w:before="1" w:line="179" w:lineRule="auto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64"/>
      <w:spacing w:line="182" w:lineRule="auto"/>
      <w:rPr>
        <w:rFonts w:ascii="Times New Roman" w:hAnsi="Times New Roman" w:eastAsia="Times New Roman" w:cs="Times New Roman"/>
        <w:sz w:val="34"/>
        <w:szCs w:val="34"/>
      </w:rPr>
    </w:pPr>
    <w:r>
      <w:rPr>
        <w:rFonts w:ascii="Times New Roman" w:hAnsi="Times New Roman" w:eastAsia="Times New Roman" w:cs="Times New Roman"/>
        <w:sz w:val="34"/>
        <w:szCs w:val="34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8224"/>
      <w:spacing w:line="188" w:lineRule="auto"/>
      <w:rPr>
        <w:sz w:val="28"/>
        <w:szCs w:val="28"/>
      </w:rPr>
    </w:pPr>
    <w:r>
      <w:rPr>
        <w:sz w:val="28"/>
        <w:szCs w:val="28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28"/>
      <w:spacing w:line="185" w:lineRule="auto"/>
      <w:rPr>
        <w:rFonts w:ascii="Times New Roman" w:hAnsi="Times New Roman" w:eastAsia="Times New Roman" w:cs="Times New Roman"/>
        <w:sz w:val="37"/>
        <w:szCs w:val="37"/>
      </w:rPr>
    </w:pPr>
    <w:r>
      <w:rPr>
        <w:rFonts w:ascii="Times New Roman" w:hAnsi="Times New Roman" w:eastAsia="Times New Roman" w:cs="Times New Roman"/>
        <w:sz w:val="37"/>
        <w:szCs w:val="37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60"/>
      <w:spacing w:before="1" w:line="182" w:lineRule="auto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14"/>
      <w:spacing w:before="1" w:line="185" w:lineRule="auto"/>
      <w:rPr>
        <w:rFonts w:ascii="Times New Roman" w:hAnsi="Times New Roman" w:eastAsia="Times New Roman" w:cs="Times New Roman"/>
        <w:sz w:val="37"/>
        <w:szCs w:val="37"/>
      </w:rPr>
    </w:pPr>
    <w:r>
      <w:rPr>
        <w:rFonts w:ascii="Times New Roman" w:hAnsi="Times New Roman" w:eastAsia="Times New Roman" w:cs="Times New Roman"/>
        <w:sz w:val="37"/>
        <w:szCs w:val="37"/>
        <w:spacing w:val="-10"/>
      </w:rPr>
      <w:t>10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45"/>
      <w:szCs w:val="4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6" Type="http://schemas.openxmlformats.org/officeDocument/2006/relationships/fontTable" Target="fontTable.xml"/><Relationship Id="rId15" Type="http://schemas.openxmlformats.org/officeDocument/2006/relationships/styles" Target="styles.xml"/><Relationship Id="rId14" Type="http://schemas.openxmlformats.org/officeDocument/2006/relationships/settings" Target="settings.xml"/><Relationship Id="rId13" Type="http://schemas.openxmlformats.org/officeDocument/2006/relationships/footer" Target="footer10.xml"/><Relationship Id="rId12" Type="http://schemas.openxmlformats.org/officeDocument/2006/relationships/footer" Target="footer9.xml"/><Relationship Id="rId11" Type="http://schemas.openxmlformats.org/officeDocument/2006/relationships/footer" Target="footer8.xml"/><Relationship Id="rId10" Type="http://schemas.openxmlformats.org/officeDocument/2006/relationships/footer" Target="footer7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2026-09-11T17:07:08Z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2026-09-11T17:07:09</vt:filetime>
  </property>
  <property fmtid="{D5CDD505-2E9C-101B-9397-08002B2CF9AE}" pid="4" name="UsrData">
    <vt:lpwstr>6aa3c4ae027ecd001f077799wl</vt:lpwstr>
  </property>
</Properties>
</file>