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spacing w:line="263" w:lineRule="auto"/>
        <w:rPr>
          <w:rFonts w:ascii="Arial"/>
          <w:sz w:val="21"/>
        </w:rPr>
      </w:pPr>
      <w:r/>
    </w:p>
    <w:p>
      <w:pPr>
        <w:spacing w:line="263" w:lineRule="auto"/>
        <w:rPr>
          <w:rFonts w:ascii="Arial"/>
          <w:sz w:val="21"/>
        </w:rPr>
      </w:pPr>
      <w:r/>
    </w:p>
    <w:p>
      <w:pPr>
        <w:spacing w:line="264" w:lineRule="auto"/>
        <w:rPr>
          <w:rFonts w:ascii="Arial"/>
          <w:sz w:val="21"/>
        </w:rPr>
      </w:pPr>
      <w:r/>
    </w:p>
    <w:p>
      <w:pPr>
        <w:pStyle w:val="BodyText"/>
        <w:ind w:left="2354" w:right="2749" w:hanging="670"/>
        <w:spacing w:before="101" w:line="273" w:lineRule="auto"/>
        <w:outlineLvl w:val="0"/>
        <w:rPr>
          <w:sz w:val="31"/>
          <w:szCs w:val="31"/>
        </w:rPr>
      </w:pPr>
      <w:r>
        <w:rPr>
          <w:sz w:val="31"/>
          <w:szCs w:val="31"/>
          <w:b/>
          <w:bCs/>
          <w:spacing w:val="-31"/>
        </w:rPr>
        <w:t>化学系推荐优秀应届本科毕业生免试攻读</w:t>
      </w:r>
      <w:r>
        <w:rPr>
          <w:sz w:val="31"/>
          <w:szCs w:val="31"/>
          <w:spacing w:val="14"/>
        </w:rPr>
        <w:t xml:space="preserve"> </w:t>
      </w:r>
      <w:r>
        <w:rPr>
          <w:sz w:val="31"/>
          <w:szCs w:val="31"/>
          <w:b/>
          <w:bCs/>
          <w:spacing w:val="-11"/>
        </w:rPr>
        <w:t>2026年硕士研究生工作办法</w:t>
      </w:r>
    </w:p>
    <w:p>
      <w:pPr>
        <w:spacing w:line="442" w:lineRule="auto"/>
        <w:rPr>
          <w:rFonts w:ascii="Arial"/>
          <w:sz w:val="21"/>
        </w:rPr>
      </w:pPr>
      <w:r/>
    </w:p>
    <w:p>
      <w:pPr>
        <w:pStyle w:val="BodyText"/>
        <w:ind w:left="389"/>
        <w:spacing w:before="65" w:line="219" w:lineRule="auto"/>
        <w:rPr/>
      </w:pPr>
      <w:r>
        <w:rPr>
          <w:spacing w:val="-2"/>
        </w:rPr>
        <w:t>为了做好化学系2026年推荐优秀应届本科毕业</w:t>
      </w:r>
      <w:r>
        <w:rPr>
          <w:b/>
          <w:bCs/>
          <w:spacing w:val="-2"/>
        </w:rPr>
        <w:t>生免试攻读研究生工作，保证推荐过程公平、</w:t>
      </w:r>
    </w:p>
    <w:p>
      <w:pPr>
        <w:spacing w:line="268" w:lineRule="auto"/>
        <w:rPr>
          <w:rFonts w:ascii="Arial"/>
          <w:sz w:val="21"/>
        </w:rPr>
      </w:pPr>
      <w:r/>
    </w:p>
    <w:p>
      <w:pPr>
        <w:pStyle w:val="BodyText"/>
        <w:spacing w:before="65" w:line="219" w:lineRule="auto"/>
        <w:rPr/>
      </w:pPr>
      <w:r>
        <w:rPr>
          <w:spacing w:val="-7"/>
        </w:rPr>
        <w:t>公开、公正，结合化学系实际工作情况，经化学系推免生遴选工作小组讨论，化学系党政联席会审</w:t>
      </w:r>
    </w:p>
    <w:p>
      <w:pPr>
        <w:spacing w:line="256" w:lineRule="auto"/>
        <w:rPr>
          <w:rFonts w:ascii="Arial"/>
          <w:sz w:val="21"/>
        </w:rPr>
      </w:pPr>
      <w:r/>
    </w:p>
    <w:p>
      <w:pPr>
        <w:pStyle w:val="BodyText"/>
        <w:spacing w:before="65" w:line="219" w:lineRule="auto"/>
        <w:rPr/>
      </w:pPr>
      <w:r>
        <w:rPr>
          <w:spacing w:val="-7"/>
        </w:rPr>
        <w:t>议批准，制订本办法。</w:t>
      </w:r>
    </w:p>
    <w:p>
      <w:pPr>
        <w:pStyle w:val="BodyText"/>
        <w:ind w:left="3"/>
        <w:spacing w:before="292" w:line="220" w:lineRule="auto"/>
        <w:outlineLvl w:val="4"/>
        <w:rPr>
          <w:sz w:val="22"/>
          <w:szCs w:val="22"/>
        </w:rPr>
      </w:pPr>
      <w:r>
        <w:rPr>
          <w:sz w:val="22"/>
          <w:szCs w:val="22"/>
          <w:b/>
          <w:bCs/>
          <w:spacing w:val="-25"/>
        </w:rPr>
        <w:t>一、化学系推免生遴选工作小组</w:t>
      </w:r>
    </w:p>
    <w:p>
      <w:pPr>
        <w:spacing w:line="263" w:lineRule="auto"/>
        <w:rPr>
          <w:rFonts w:ascii="Arial"/>
          <w:sz w:val="21"/>
        </w:rPr>
      </w:pPr>
      <w:r/>
    </w:p>
    <w:p>
      <w:pPr>
        <w:pStyle w:val="BodyText"/>
        <w:ind w:left="389"/>
        <w:spacing w:before="65" w:line="219" w:lineRule="auto"/>
        <w:rPr/>
      </w:pPr>
      <w:r>
        <w:rPr>
          <w:spacing w:val="-17"/>
        </w:rPr>
        <w:t>组</w:t>
      </w:r>
      <w:r>
        <w:rPr>
          <w:spacing w:val="78"/>
        </w:rPr>
        <w:t xml:space="preserve"> </w:t>
      </w:r>
      <w:r>
        <w:rPr>
          <w:b/>
          <w:bCs/>
          <w:spacing w:val="-17"/>
        </w:rPr>
        <w:t>长</w:t>
      </w:r>
      <w:r>
        <w:rPr>
          <w:spacing w:val="-43"/>
        </w:rPr>
        <w:t xml:space="preserve"> </w:t>
      </w:r>
      <w:r>
        <w:rPr>
          <w:b/>
          <w:bCs/>
          <w:spacing w:val="-17"/>
        </w:rPr>
        <w:t>：</w:t>
      </w:r>
      <w:r>
        <w:rPr>
          <w:spacing w:val="-17"/>
        </w:rPr>
        <w:t>王群</w:t>
      </w:r>
    </w:p>
    <w:p>
      <w:pPr>
        <w:spacing w:line="246" w:lineRule="auto"/>
        <w:rPr>
          <w:rFonts w:ascii="Arial"/>
          <w:sz w:val="21"/>
        </w:rPr>
      </w:pPr>
      <w:r/>
    </w:p>
    <w:p>
      <w:pPr>
        <w:pStyle w:val="BodyText"/>
        <w:ind w:left="389"/>
        <w:spacing w:before="65" w:line="219" w:lineRule="auto"/>
        <w:rPr/>
      </w:pPr>
      <w:r>
        <w:rPr>
          <w:spacing w:val="-5"/>
        </w:rPr>
        <w:t>副组长：郭帅、张婷旖</w:t>
      </w:r>
    </w:p>
    <w:p>
      <w:pPr>
        <w:spacing w:line="264" w:lineRule="auto"/>
        <w:rPr>
          <w:rFonts w:ascii="Arial"/>
          <w:sz w:val="21"/>
        </w:rPr>
      </w:pPr>
      <w:r>
        <w:drawing>
          <wp:anchor distT="0" distB="0" distL="0" distR="0" simplePos="0" relativeHeight="251658240" behindDoc="0" locked="0" layoutInCell="1" allowOverlap="1">
            <wp:simplePos x="0" y="0"/>
            <wp:positionH relativeFrom="column">
              <wp:posOffset>5638810</wp:posOffset>
            </wp:positionH>
            <wp:positionV relativeFrom="paragraph">
              <wp:posOffset>27980</wp:posOffset>
            </wp:positionV>
            <wp:extent cx="406388" cy="1200120"/>
            <wp:effectExtent l="0" t="0" r="0" b="0"/>
            <wp:wrapNone/>
            <wp:docPr id="2" name="IM 2"/>
            <wp:cNvGraphicFramePr/>
            <a:graphic>
              <a:graphicData uri="http://schemas.openxmlformats.org/drawingml/2006/picture">
                <pic:pic>
                  <pic:nvPicPr>
                    <pic:cNvPr id="2" name="IM 2"/>
                    <pic:cNvPicPr/>
                  </pic:nvPicPr>
                  <pic:blipFill>
                    <a:blip r:embed="rId2"/>
                    <a:stretch>
                      <a:fillRect/>
                    </a:stretch>
                  </pic:blipFill>
                  <pic:spPr>
                    <a:xfrm rot="0">
                      <a:off x="0" y="0"/>
                      <a:ext cx="406388" cy="1200120"/>
                    </a:xfrm>
                    <a:prstGeom prst="rect">
                      <a:avLst/>
                    </a:prstGeom>
                  </pic:spPr>
                </pic:pic>
              </a:graphicData>
            </a:graphic>
          </wp:anchor>
        </w:drawing>
      </w:r>
      <w:r/>
    </w:p>
    <w:p>
      <w:pPr>
        <w:pStyle w:val="BodyText"/>
        <w:ind w:left="389"/>
        <w:spacing w:before="65" w:line="219" w:lineRule="auto"/>
        <w:rPr/>
      </w:pPr>
      <w:r>
        <w:rPr>
          <w:spacing w:val="-2"/>
        </w:rPr>
        <w:t>成 员：田洋、马占芳、郭长彬、林雨青、叶能胜、吉琳、孟祥福</w:t>
      </w:r>
    </w:p>
    <w:p>
      <w:pPr>
        <w:pStyle w:val="BodyText"/>
        <w:ind w:left="389"/>
        <w:spacing w:before="303" w:line="219" w:lineRule="auto"/>
        <w:rPr/>
      </w:pPr>
      <w:r>
        <w:rPr>
          <w:sz w:val="21"/>
          <w:szCs w:val="21"/>
          <w:spacing w:val="-7"/>
        </w:rPr>
        <w:t>秘 书 ：</w:t>
      </w:r>
      <w:r>
        <w:rPr>
          <w:spacing w:val="-7"/>
        </w:rPr>
        <w:t>孙艺夺</w:t>
      </w:r>
    </w:p>
    <w:p>
      <w:pPr>
        <w:pStyle w:val="BodyText"/>
        <w:ind w:left="3"/>
        <w:spacing w:before="300" w:line="219" w:lineRule="auto"/>
        <w:outlineLvl w:val="4"/>
        <w:rPr>
          <w:sz w:val="22"/>
          <w:szCs w:val="22"/>
        </w:rPr>
      </w:pPr>
      <w:r>
        <w:rPr>
          <w:sz w:val="22"/>
          <w:szCs w:val="22"/>
          <w:b/>
          <w:bCs/>
          <w:spacing w:val="-25"/>
        </w:rPr>
        <w:t>二、化学系推免生学术专长审核小组</w:t>
      </w:r>
    </w:p>
    <w:p>
      <w:pPr>
        <w:spacing w:line="254" w:lineRule="auto"/>
        <w:rPr>
          <w:rFonts w:ascii="Arial"/>
          <w:sz w:val="21"/>
        </w:rPr>
      </w:pPr>
      <w:r/>
    </w:p>
    <w:p>
      <w:pPr>
        <w:pStyle w:val="BodyText"/>
        <w:ind w:left="389"/>
        <w:spacing w:before="66" w:line="219" w:lineRule="auto"/>
        <w:rPr/>
      </w:pPr>
      <w:r>
        <w:rPr>
          <w:spacing w:val="-2"/>
        </w:rPr>
        <w:t>组长：郭帅</w:t>
      </w:r>
    </w:p>
    <w:p>
      <w:pPr>
        <w:spacing w:line="246" w:lineRule="auto"/>
        <w:rPr>
          <w:rFonts w:ascii="Arial"/>
          <w:sz w:val="21"/>
        </w:rPr>
      </w:pPr>
      <w:r/>
    </w:p>
    <w:p>
      <w:pPr>
        <w:pStyle w:val="BodyText"/>
        <w:ind w:left="389"/>
        <w:spacing w:before="65" w:line="219" w:lineRule="auto"/>
        <w:rPr/>
      </w:pPr>
      <w:r>
        <w:rPr>
          <w:spacing w:val="-6"/>
        </w:rPr>
        <w:t>成员：叶能胜、郭长彬、马占芳、吉琳</w:t>
      </w:r>
    </w:p>
    <w:p>
      <w:pPr>
        <w:spacing w:line="248" w:lineRule="auto"/>
        <w:rPr>
          <w:rFonts w:ascii="Arial"/>
          <w:sz w:val="21"/>
        </w:rPr>
      </w:pPr>
      <w:r/>
    </w:p>
    <w:p>
      <w:pPr>
        <w:pStyle w:val="BodyText"/>
        <w:ind w:left="3"/>
        <w:spacing w:before="69" w:line="219" w:lineRule="auto"/>
        <w:outlineLvl w:val="4"/>
        <w:rPr>
          <w:sz w:val="21"/>
          <w:szCs w:val="21"/>
        </w:rPr>
      </w:pPr>
      <w:r>
        <w:rPr>
          <w:sz w:val="21"/>
          <w:szCs w:val="21"/>
          <w:b/>
          <w:bCs/>
          <w:spacing w:val="-16"/>
        </w:rPr>
        <w:t>三、基本原则</w:t>
      </w:r>
    </w:p>
    <w:p>
      <w:pPr>
        <w:spacing w:line="247" w:lineRule="auto"/>
        <w:rPr>
          <w:rFonts w:ascii="Arial"/>
          <w:sz w:val="21"/>
        </w:rPr>
      </w:pPr>
      <w:r/>
    </w:p>
    <w:p>
      <w:pPr>
        <w:pStyle w:val="BodyText"/>
        <w:ind w:left="129"/>
        <w:spacing w:before="65" w:line="219" w:lineRule="auto"/>
        <w:rPr/>
      </w:pPr>
      <w:r>
        <w:rPr>
          <w:spacing w:val="-3"/>
        </w:rPr>
        <w:t>(一)坚持落实立德树人根本任务，坚持德智体美劳</w:t>
      </w:r>
      <w:r>
        <w:rPr>
          <w:spacing w:val="-4"/>
        </w:rPr>
        <w:t>全面衡量，以德为先，注重对学生政治态度、</w:t>
      </w:r>
    </w:p>
    <w:p>
      <w:pPr>
        <w:spacing w:line="256" w:lineRule="auto"/>
        <w:rPr>
          <w:rFonts w:ascii="Arial"/>
          <w:sz w:val="21"/>
        </w:rPr>
      </w:pPr>
      <w:r/>
    </w:p>
    <w:p>
      <w:pPr>
        <w:pStyle w:val="BodyText"/>
        <w:spacing w:before="65" w:line="219" w:lineRule="auto"/>
        <w:rPr/>
      </w:pPr>
      <w:r>
        <w:drawing>
          <wp:anchor distT="0" distB="0" distL="0" distR="0" simplePos="0" relativeHeight="251659264" behindDoc="0" locked="0" layoutInCell="1" allowOverlap="1">
            <wp:simplePos x="0" y="0"/>
            <wp:positionH relativeFrom="column">
              <wp:posOffset>5702285</wp:posOffset>
            </wp:positionH>
            <wp:positionV relativeFrom="paragraph">
              <wp:posOffset>157331</wp:posOffset>
            </wp:positionV>
            <wp:extent cx="349261" cy="1130292"/>
            <wp:effectExtent l="0" t="0" r="0" b="0"/>
            <wp:wrapNone/>
            <wp:docPr id="4" name="IM 4"/>
            <wp:cNvGraphicFramePr/>
            <a:graphic>
              <a:graphicData uri="http://schemas.openxmlformats.org/drawingml/2006/picture">
                <pic:pic>
                  <pic:nvPicPr>
                    <pic:cNvPr id="4" name="IM 4"/>
                    <pic:cNvPicPr/>
                  </pic:nvPicPr>
                  <pic:blipFill>
                    <a:blip r:embed="rId3"/>
                    <a:stretch>
                      <a:fillRect/>
                    </a:stretch>
                  </pic:blipFill>
                  <pic:spPr>
                    <a:xfrm rot="0">
                      <a:off x="0" y="0"/>
                      <a:ext cx="349261" cy="1130292"/>
                    </a:xfrm>
                    <a:prstGeom prst="rect">
                      <a:avLst/>
                    </a:prstGeom>
                  </pic:spPr>
                </pic:pic>
              </a:graphicData>
            </a:graphic>
          </wp:anchor>
        </w:drawing>
      </w:r>
      <w:r>
        <w:rPr>
          <w:spacing w:val="-7"/>
        </w:rPr>
        <w:t>思想表现、道德品质、科学精神、诚实守信、遵纪守法等方面的考察，思想品德考核不合格者</w:t>
      </w:r>
      <w:r>
        <w:rPr>
          <w:spacing w:val="-8"/>
        </w:rPr>
        <w:t>不予</w:t>
      </w:r>
    </w:p>
    <w:p>
      <w:pPr>
        <w:spacing w:line="256" w:lineRule="auto"/>
        <w:rPr>
          <w:rFonts w:ascii="Arial"/>
          <w:sz w:val="21"/>
        </w:rPr>
      </w:pPr>
      <w:r/>
    </w:p>
    <w:p>
      <w:pPr>
        <w:pStyle w:val="BodyText"/>
        <w:spacing w:before="65" w:line="219" w:lineRule="auto"/>
        <w:rPr/>
      </w:pPr>
      <w:r>
        <w:rPr>
          <w:spacing w:val="-9"/>
        </w:rPr>
        <w:t>推荐。</w:t>
      </w:r>
    </w:p>
    <w:p>
      <w:pPr>
        <w:spacing w:line="265" w:lineRule="auto"/>
        <w:rPr>
          <w:rFonts w:ascii="Arial"/>
          <w:sz w:val="21"/>
        </w:rPr>
      </w:pPr>
      <w:r/>
    </w:p>
    <w:p>
      <w:pPr>
        <w:pStyle w:val="BodyText"/>
        <w:ind w:left="129"/>
        <w:spacing w:before="66" w:line="218" w:lineRule="auto"/>
        <w:rPr/>
      </w:pPr>
      <w:r>
        <w:rPr>
          <w:spacing w:val="-5"/>
        </w:rPr>
        <w:t>(二)突出考查学生的一贯学业表现，注重并加强对学生本科阶段学习情况的过程性评</w:t>
      </w:r>
      <w:r>
        <w:rPr>
          <w:spacing w:val="-6"/>
        </w:rPr>
        <w:t>价，将本科</w:t>
      </w:r>
    </w:p>
    <w:p>
      <w:pPr>
        <w:spacing w:line="259" w:lineRule="auto"/>
        <w:rPr>
          <w:rFonts w:ascii="Arial"/>
          <w:sz w:val="21"/>
        </w:rPr>
      </w:pPr>
      <w:r/>
    </w:p>
    <w:p>
      <w:pPr>
        <w:pStyle w:val="BodyText"/>
        <w:ind w:right="1179"/>
        <w:spacing w:before="66" w:line="506" w:lineRule="auto"/>
        <w:rPr/>
      </w:pPr>
      <w:r>
        <w:rPr>
          <w:spacing w:val="-3"/>
        </w:rPr>
        <w:t>阶段学业综合成绩作为推免工作最基础的遴选</w:t>
      </w:r>
      <w:r>
        <w:rPr>
          <w:spacing w:val="-4"/>
        </w:rPr>
        <w:t>指标，不得专门组织遴选推免生的考试(包括笔试、</w:t>
      </w:r>
      <w:r>
        <w:rPr/>
        <w:t xml:space="preserve"> </w:t>
      </w:r>
      <w:r>
        <w:rPr>
          <w:spacing w:val="-6"/>
        </w:rPr>
        <w:t>面试等)。</w:t>
      </w:r>
    </w:p>
    <w:p>
      <w:pPr>
        <w:pStyle w:val="BodyText"/>
        <w:ind w:right="1240" w:firstLine="129"/>
        <w:spacing w:line="510" w:lineRule="auto"/>
        <w:rPr/>
      </w:pPr>
      <w:r>
        <w:rPr>
          <w:spacing w:val="-6"/>
        </w:rPr>
        <w:t>(三)</w:t>
      </w:r>
      <w:r>
        <w:rPr>
          <w:b/>
          <w:bCs/>
          <w:spacing w:val="-6"/>
        </w:rPr>
        <w:t>坚持公正、公平、公开原则。</w:t>
      </w:r>
      <w:r>
        <w:rPr>
          <w:spacing w:val="-6"/>
        </w:rPr>
        <w:t>学校和各推免生推荐单位均须制</w:t>
      </w:r>
      <w:r>
        <w:rPr>
          <w:spacing w:val="-7"/>
        </w:rPr>
        <w:t>定科学、规范、明确的推荐标</w:t>
      </w:r>
      <w:r>
        <w:rPr/>
        <w:t xml:space="preserve"> </w:t>
      </w:r>
      <w:r>
        <w:rPr>
          <w:spacing w:val="-7"/>
        </w:rPr>
        <w:t>准及公开、透明的操作程序。推免名额、推免办法、拟推荐名单、咨询与</w:t>
      </w:r>
      <w:r>
        <w:rPr>
          <w:spacing w:val="-8"/>
        </w:rPr>
        <w:t>申诉渠道等重要信息，须</w:t>
      </w:r>
    </w:p>
    <w:p>
      <w:pPr>
        <w:spacing w:line="510" w:lineRule="auto"/>
        <w:sectPr>
          <w:footerReference w:type="default" r:id="rId1"/>
          <w:pgSz w:w="11900" w:h="16840"/>
          <w:pgMar w:top="1431" w:right="619" w:bottom="1909" w:left="1750" w:header="0" w:footer="1791" w:gutter="0"/>
        </w:sectPr>
        <w:rPr/>
      </w:pPr>
    </w:p>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pStyle w:val="BodyText"/>
        <w:spacing w:before="65" w:line="219" w:lineRule="auto"/>
        <w:rPr/>
      </w:pPr>
      <w:r>
        <w:rPr>
          <w:spacing w:val="-10"/>
        </w:rPr>
        <w:t>按要求进行公开、公示。</w:t>
      </w:r>
    </w:p>
    <w:p>
      <w:pPr>
        <w:spacing w:line="253" w:lineRule="auto"/>
        <w:rPr>
          <w:rFonts w:ascii="Arial"/>
          <w:sz w:val="21"/>
        </w:rPr>
      </w:pPr>
      <w:r/>
    </w:p>
    <w:p>
      <w:pPr>
        <w:pStyle w:val="BodyText"/>
        <w:ind w:left="2"/>
        <w:spacing w:before="65" w:line="219" w:lineRule="auto"/>
        <w:outlineLvl w:val="4"/>
        <w:rPr/>
      </w:pPr>
      <w:r>
        <w:rPr>
          <w:b/>
          <w:bCs/>
          <w:spacing w:val="-16"/>
        </w:rPr>
        <w:t>四、名额分配</w:t>
      </w:r>
    </w:p>
    <w:p>
      <w:pPr>
        <w:pStyle w:val="BodyText"/>
        <w:ind w:left="369"/>
        <w:spacing w:before="266" w:line="219" w:lineRule="auto"/>
        <w:rPr>
          <w:sz w:val="21"/>
          <w:szCs w:val="21"/>
        </w:rPr>
      </w:pPr>
      <w:r>
        <w:rPr>
          <w:sz w:val="21"/>
          <w:szCs w:val="21"/>
          <w:spacing w:val="-7"/>
        </w:rPr>
        <w:t>学校分配给化学系推免生名额共计19个，其中普通非限定名额13个，卓越中学教</w:t>
      </w:r>
      <w:r>
        <w:rPr>
          <w:sz w:val="21"/>
          <w:szCs w:val="21"/>
          <w:spacing w:val="-8"/>
        </w:rPr>
        <w:t>师培养项</w:t>
      </w:r>
    </w:p>
    <w:p>
      <w:pPr>
        <w:spacing w:line="267" w:lineRule="auto"/>
        <w:rPr>
          <w:rFonts w:ascii="Arial"/>
          <w:sz w:val="21"/>
        </w:rPr>
      </w:pPr>
      <w:r/>
    </w:p>
    <w:p>
      <w:pPr>
        <w:pStyle w:val="BodyText"/>
        <w:ind w:left="2"/>
        <w:spacing w:before="69" w:line="219" w:lineRule="auto"/>
        <w:rPr>
          <w:sz w:val="21"/>
          <w:szCs w:val="21"/>
        </w:rPr>
      </w:pPr>
      <w:r>
        <w:rPr>
          <w:sz w:val="21"/>
          <w:szCs w:val="21"/>
          <w:b/>
          <w:bCs/>
          <w:spacing w:val="-12"/>
        </w:rPr>
        <w:t>目名额1个，“国优”计划名额5个。</w:t>
      </w:r>
    </w:p>
    <w:p>
      <w:pPr>
        <w:pStyle w:val="BodyText"/>
        <w:ind w:left="369"/>
        <w:spacing w:before="293" w:line="219" w:lineRule="auto"/>
        <w:rPr/>
      </w:pPr>
      <w:r>
        <w:rPr>
          <w:spacing w:val="-6"/>
        </w:rPr>
        <w:t>关于卓越中学教师培养项目的说明：申请“卓越教师培养项目”者须为化学师范专业学生。</w:t>
      </w:r>
    </w:p>
    <w:p>
      <w:pPr>
        <w:spacing w:line="253" w:lineRule="auto"/>
        <w:rPr>
          <w:rFonts w:ascii="Arial"/>
          <w:sz w:val="21"/>
        </w:rPr>
      </w:pPr>
      <w:r/>
    </w:p>
    <w:p>
      <w:pPr>
        <w:pStyle w:val="BodyText"/>
        <w:ind w:left="369"/>
        <w:spacing w:before="65" w:line="216" w:lineRule="auto"/>
        <w:rPr/>
      </w:pPr>
      <w:r>
        <w:rPr>
          <w:spacing w:val="-6"/>
        </w:rPr>
        <w:t>关于国优计划的说明：国优计划全称“国家优秀中小学教师培养计划”,旨在为进一步推动高</w:t>
      </w:r>
    </w:p>
    <w:p>
      <w:pPr>
        <w:spacing w:line="270" w:lineRule="auto"/>
        <w:rPr>
          <w:rFonts w:ascii="Arial"/>
          <w:sz w:val="21"/>
        </w:rPr>
      </w:pPr>
      <w:r/>
    </w:p>
    <w:p>
      <w:pPr>
        <w:pStyle w:val="BodyText"/>
        <w:spacing w:before="65" w:line="219" w:lineRule="auto"/>
        <w:rPr/>
      </w:pPr>
      <w:r>
        <w:rPr>
          <w:spacing w:val="-7"/>
        </w:rPr>
        <w:t>水平高校为中小学培养研究生层次高素质教师，夯实拔尖创新人</w:t>
      </w:r>
      <w:r>
        <w:rPr>
          <w:spacing w:val="-8"/>
        </w:rPr>
        <w:t>才培养基础。</w:t>
      </w:r>
    </w:p>
    <w:p>
      <w:pPr>
        <w:spacing w:line="246" w:lineRule="auto"/>
        <w:rPr>
          <w:rFonts w:ascii="Arial"/>
          <w:sz w:val="21"/>
        </w:rPr>
      </w:pPr>
      <w:r/>
    </w:p>
    <w:p>
      <w:pPr>
        <w:pStyle w:val="BodyText"/>
        <w:ind w:left="369"/>
        <w:spacing w:before="66" w:line="219" w:lineRule="auto"/>
        <w:rPr/>
      </w:pPr>
      <w:r>
        <w:rPr>
          <w:spacing w:val="2"/>
        </w:rPr>
        <w:t>截至本办法公示之时，2022级化学(师范)专业学生和应化专业学生有国家学籍与校内学籍</w:t>
      </w:r>
    </w:p>
    <w:p>
      <w:pPr>
        <w:spacing w:line="256" w:lineRule="auto"/>
        <w:rPr>
          <w:rFonts w:ascii="Arial"/>
          <w:sz w:val="21"/>
        </w:rPr>
      </w:pPr>
      <w:r/>
    </w:p>
    <w:p>
      <w:pPr>
        <w:pStyle w:val="BodyText"/>
        <w:spacing w:before="65" w:line="219" w:lineRule="auto"/>
        <w:rPr/>
      </w:pPr>
      <w:r>
        <w:rPr>
          <w:spacing w:val="6"/>
        </w:rPr>
        <w:t>人数分别是84人和41人。化学师范专业包括了在</w:t>
      </w:r>
      <w:r>
        <w:rPr>
          <w:spacing w:val="5"/>
        </w:rPr>
        <w:t>本部培养的83人，英国斯特莱德大学联合培</w:t>
      </w:r>
    </w:p>
    <w:p>
      <w:pPr>
        <w:spacing w:line="256" w:lineRule="auto"/>
        <w:rPr>
          <w:rFonts w:ascii="Arial"/>
          <w:sz w:val="21"/>
        </w:rPr>
      </w:pPr>
      <w:r/>
    </w:p>
    <w:p>
      <w:pPr>
        <w:pStyle w:val="BodyText"/>
        <w:spacing w:before="65" w:line="219" w:lineRule="auto"/>
        <w:rPr/>
      </w:pPr>
      <w:r>
        <w:rPr>
          <w:spacing w:val="5"/>
        </w:rPr>
        <w:t>养的学生1人。应用化学专业包括在本部培养的27人，校外“3+1”模式联合培养双培生14人</w:t>
      </w:r>
    </w:p>
    <w:p>
      <w:pPr>
        <w:spacing w:line="257" w:lineRule="auto"/>
        <w:rPr>
          <w:rFonts w:ascii="Arial"/>
          <w:sz w:val="21"/>
        </w:rPr>
      </w:pPr>
      <w:r/>
    </w:p>
    <w:p>
      <w:pPr>
        <w:pStyle w:val="BodyText"/>
        <w:ind w:left="139"/>
        <w:spacing w:before="65" w:line="219" w:lineRule="auto"/>
        <w:rPr/>
      </w:pPr>
      <w:r>
        <w:rPr>
          <w:spacing w:val="2"/>
        </w:rPr>
        <w:t>(含北京化工大学双培生12人，清华大学双培生2人)。</w:t>
      </w:r>
    </w:p>
    <w:p>
      <w:pPr>
        <w:spacing w:line="254" w:lineRule="auto"/>
        <w:rPr>
          <w:rFonts w:ascii="Arial"/>
          <w:sz w:val="21"/>
        </w:rPr>
      </w:pPr>
      <w:r/>
    </w:p>
    <w:p>
      <w:pPr>
        <w:pStyle w:val="BodyText"/>
        <w:ind w:left="369"/>
        <w:spacing w:before="66" w:line="219" w:lineRule="auto"/>
        <w:rPr/>
      </w:pPr>
      <w:r>
        <w:rPr>
          <w:spacing w:val="-3"/>
        </w:rPr>
        <w:t>在适当考虑两个专业人数比例基础上，经化学系推免生遴选工作小组研究确定，2022级化学</w:t>
      </w:r>
    </w:p>
    <w:p>
      <w:pPr>
        <w:spacing w:line="257" w:lineRule="auto"/>
        <w:rPr>
          <w:rFonts w:ascii="Arial"/>
          <w:sz w:val="21"/>
        </w:rPr>
      </w:pPr>
      <w:r/>
    </w:p>
    <w:p>
      <w:pPr>
        <w:pStyle w:val="BodyText"/>
        <w:spacing w:before="66" w:line="219" w:lineRule="auto"/>
        <w:rPr/>
      </w:pPr>
      <w:r>
        <w:rPr>
          <w:spacing w:val="3"/>
        </w:rPr>
        <w:t>师范专业分配名额12个(含非限定推免生名额7个，卓越中学教师培养项目名额1个，国优计划</w:t>
      </w:r>
    </w:p>
    <w:p>
      <w:pPr>
        <w:spacing w:line="256" w:lineRule="auto"/>
        <w:rPr>
          <w:rFonts w:ascii="Arial"/>
          <w:sz w:val="21"/>
        </w:rPr>
      </w:pPr>
      <w:r/>
    </w:p>
    <w:p>
      <w:pPr>
        <w:pStyle w:val="BodyText"/>
        <w:spacing w:before="65" w:line="219" w:lineRule="auto"/>
        <w:rPr/>
      </w:pPr>
      <w:r>
        <w:rPr>
          <w:spacing w:val="-4"/>
        </w:rPr>
        <w:t>名额4个)。外培生课业成绩单，按照首都师范大学制定的课程成绩与课程绩点换算关系表，进行</w:t>
      </w:r>
    </w:p>
    <w:p>
      <w:pPr>
        <w:spacing w:line="254" w:lineRule="auto"/>
        <w:rPr>
          <w:rFonts w:ascii="Arial"/>
          <w:sz w:val="21"/>
        </w:rPr>
      </w:pPr>
      <w:r/>
    </w:p>
    <w:p>
      <w:pPr>
        <w:pStyle w:val="BodyText"/>
        <w:spacing w:before="66" w:line="219" w:lineRule="auto"/>
        <w:rPr/>
      </w:pPr>
      <w:r>
        <w:rPr>
          <w:spacing w:val="-9"/>
        </w:rPr>
        <w:t>成绩折算，录入首都师范大学系统成绩作为依据。</w:t>
      </w:r>
    </w:p>
    <w:p>
      <w:pPr>
        <w:spacing w:line="246" w:lineRule="auto"/>
        <w:rPr>
          <w:rFonts w:ascii="Arial"/>
          <w:sz w:val="21"/>
        </w:rPr>
      </w:pPr>
      <w:r/>
    </w:p>
    <w:p>
      <w:pPr>
        <w:pStyle w:val="BodyText"/>
        <w:ind w:left="369"/>
        <w:spacing w:before="65" w:line="219" w:lineRule="auto"/>
        <w:rPr/>
      </w:pPr>
      <w:r>
        <w:rPr/>
        <w:t>2022级应用化学专业非限定推免生名额共6个，适度考虑到本部、</w:t>
      </w:r>
      <w:r>
        <w:rPr>
          <w:spacing w:val="-1"/>
        </w:rPr>
        <w:t>双培生(含北化工、清华)</w:t>
      </w:r>
    </w:p>
    <w:p>
      <w:pPr>
        <w:spacing w:line="256" w:lineRule="auto"/>
        <w:rPr>
          <w:rFonts w:ascii="Arial"/>
          <w:sz w:val="21"/>
        </w:rPr>
      </w:pPr>
      <w:r>
        <w:drawing>
          <wp:anchor distT="0" distB="0" distL="0" distR="0" simplePos="0" relativeHeight="251660288" behindDoc="0" locked="0" layoutInCell="1" allowOverlap="1">
            <wp:simplePos x="0" y="0"/>
            <wp:positionH relativeFrom="column">
              <wp:posOffset>5740371</wp:posOffset>
            </wp:positionH>
            <wp:positionV relativeFrom="paragraph">
              <wp:posOffset>66925</wp:posOffset>
            </wp:positionV>
            <wp:extent cx="273091" cy="1352501"/>
            <wp:effectExtent l="0" t="0" r="0" b="0"/>
            <wp:wrapNone/>
            <wp:docPr id="6" name="IM 6"/>
            <wp:cNvGraphicFramePr/>
            <a:graphic>
              <a:graphicData uri="http://schemas.openxmlformats.org/drawingml/2006/picture">
                <pic:pic>
                  <pic:nvPicPr>
                    <pic:cNvPr id="6" name="IM 6"/>
                    <pic:cNvPicPr/>
                  </pic:nvPicPr>
                  <pic:blipFill>
                    <a:blip r:embed="rId5"/>
                    <a:stretch>
                      <a:fillRect/>
                    </a:stretch>
                  </pic:blipFill>
                  <pic:spPr>
                    <a:xfrm rot="0">
                      <a:off x="0" y="0"/>
                      <a:ext cx="273091" cy="1352501"/>
                    </a:xfrm>
                    <a:prstGeom prst="rect">
                      <a:avLst/>
                    </a:prstGeom>
                  </pic:spPr>
                </pic:pic>
              </a:graphicData>
            </a:graphic>
          </wp:anchor>
        </w:drawing>
      </w:r>
      <w:r/>
    </w:p>
    <w:p>
      <w:pPr>
        <w:pStyle w:val="BodyText"/>
        <w:spacing w:before="65" w:line="219" w:lineRule="auto"/>
        <w:rPr/>
      </w:pPr>
      <w:r>
        <w:rPr>
          <w:spacing w:val="1"/>
        </w:rPr>
        <w:t>的人数和培养环境的差异，本部培养分配名额4个，双培生(含北化工、清华)应化生分配名</w:t>
      </w:r>
      <w:r>
        <w:rPr/>
        <w:t>额2</w:t>
      </w:r>
    </w:p>
    <w:p>
      <w:pPr>
        <w:spacing w:line="257" w:lineRule="auto"/>
        <w:rPr>
          <w:rFonts w:ascii="Arial"/>
          <w:sz w:val="21"/>
        </w:rPr>
      </w:pPr>
      <w:r/>
    </w:p>
    <w:p>
      <w:pPr>
        <w:pStyle w:val="BodyText"/>
        <w:spacing w:before="66" w:line="219" w:lineRule="auto"/>
        <w:rPr/>
      </w:pPr>
      <w:r>
        <w:rPr>
          <w:spacing w:val="-4"/>
        </w:rPr>
        <w:t>个。双培生(含北化工、清华)课业成绩单，按照首都师范大学制定的课程成绩与课</w:t>
      </w:r>
      <w:r>
        <w:rPr>
          <w:spacing w:val="-5"/>
        </w:rPr>
        <w:t>程绩点换算关</w:t>
      </w:r>
    </w:p>
    <w:p>
      <w:pPr>
        <w:spacing w:line="254" w:lineRule="auto"/>
        <w:rPr>
          <w:rFonts w:ascii="Arial"/>
          <w:sz w:val="21"/>
        </w:rPr>
      </w:pPr>
      <w:r/>
    </w:p>
    <w:p>
      <w:pPr>
        <w:pStyle w:val="BodyText"/>
        <w:spacing w:before="66" w:line="219" w:lineRule="auto"/>
        <w:rPr/>
      </w:pPr>
      <w:r>
        <w:rPr>
          <w:spacing w:val="-8"/>
        </w:rPr>
        <w:t>系表，进行成绩折算，录入首都师范大学系统</w:t>
      </w:r>
      <w:r>
        <w:rPr>
          <w:spacing w:val="-9"/>
        </w:rPr>
        <w:t>成绩作为依据。</w:t>
      </w:r>
    </w:p>
    <w:p>
      <w:pPr>
        <w:pStyle w:val="BodyText"/>
        <w:ind w:left="329"/>
        <w:spacing w:before="304" w:line="219" w:lineRule="auto"/>
        <w:rPr/>
      </w:pPr>
      <w:r>
        <w:rPr>
          <w:spacing w:val="1"/>
        </w:rPr>
        <w:t>剩余的“国优”计划名额1个，面向全系2022级学生，不再区分专业。但是特别提示，国优</w:t>
      </w:r>
    </w:p>
    <w:p>
      <w:pPr>
        <w:spacing w:line="274" w:lineRule="auto"/>
        <w:rPr>
          <w:rFonts w:ascii="Arial"/>
          <w:sz w:val="21"/>
        </w:rPr>
      </w:pPr>
      <w:r/>
    </w:p>
    <w:p>
      <w:pPr>
        <w:pStyle w:val="BodyText"/>
        <w:spacing w:before="65" w:line="219" w:lineRule="auto"/>
        <w:rPr/>
      </w:pPr>
      <w:r>
        <w:rPr>
          <w:spacing w:val="-11"/>
        </w:rPr>
        <w:t>计划因出口为中小学的研究生层次教师，特别鼓励热爱教育事业</w:t>
      </w:r>
      <w:r>
        <w:rPr>
          <w:spacing w:val="-12"/>
        </w:rPr>
        <w:t>、致力于投身基础教育的学生报名。</w:t>
      </w:r>
    </w:p>
    <w:p>
      <w:pPr>
        <w:rPr>
          <w:rFonts w:ascii="Arial"/>
          <w:sz w:val="21"/>
        </w:rPr>
      </w:pPr>
      <w:r/>
    </w:p>
    <w:p>
      <w:pPr>
        <w:pStyle w:val="BodyText"/>
        <w:ind w:left="3"/>
        <w:spacing w:before="69" w:line="219" w:lineRule="auto"/>
        <w:outlineLvl w:val="4"/>
        <w:rPr>
          <w:sz w:val="21"/>
          <w:szCs w:val="21"/>
        </w:rPr>
      </w:pPr>
      <w:r>
        <w:rPr>
          <w:sz w:val="21"/>
          <w:szCs w:val="21"/>
          <w:b/>
          <w:bCs/>
          <w:spacing w:val="-21"/>
        </w:rPr>
        <w:t>五、推荐程序</w:t>
      </w:r>
    </w:p>
    <w:p>
      <w:pPr>
        <w:spacing w:line="219" w:lineRule="auto"/>
        <w:sectPr>
          <w:footerReference w:type="default" r:id="rId4"/>
          <w:pgSz w:w="11900" w:h="16840"/>
          <w:pgMar w:top="1431" w:right="679" w:bottom="1909" w:left="1750" w:header="0" w:footer="1791" w:gutter="0"/>
        </w:sectPr>
        <w:rPr>
          <w:sz w:val="21"/>
          <w:szCs w:val="21"/>
        </w:rPr>
      </w:pPr>
    </w:p>
    <w:p>
      <w:pPr>
        <w:spacing w:line="300" w:lineRule="auto"/>
        <w:rPr>
          <w:rFonts w:ascii="Arial"/>
          <w:sz w:val="21"/>
        </w:rPr>
      </w:pPr>
      <w:r/>
    </w:p>
    <w:p>
      <w:pPr>
        <w:spacing w:line="301" w:lineRule="auto"/>
        <w:rPr>
          <w:rFonts w:ascii="Arial"/>
          <w:sz w:val="21"/>
        </w:rPr>
      </w:pPr>
      <w:r/>
    </w:p>
    <w:p>
      <w:pPr>
        <w:spacing w:line="301" w:lineRule="auto"/>
        <w:rPr>
          <w:rFonts w:ascii="Arial"/>
          <w:sz w:val="21"/>
        </w:rPr>
      </w:pPr>
      <w:r/>
    </w:p>
    <w:p>
      <w:pPr>
        <w:pStyle w:val="BodyText"/>
        <w:ind w:left="737"/>
        <w:spacing w:before="65" w:line="219" w:lineRule="auto"/>
        <w:outlineLvl w:val="0"/>
        <w:rPr/>
      </w:pPr>
      <w:r>
        <w:rPr>
          <w:b/>
          <w:bCs/>
          <w:spacing w:val="1"/>
        </w:rPr>
        <w:t>1.2025年09月09日前，化学系在化学系官方网站，公布化学系推免生遴选工作小组名单、</w:t>
      </w:r>
    </w:p>
    <w:p>
      <w:pPr>
        <w:spacing w:line="257" w:lineRule="auto"/>
        <w:rPr>
          <w:rFonts w:ascii="Arial"/>
          <w:sz w:val="21"/>
        </w:rPr>
      </w:pPr>
      <w:r/>
    </w:p>
    <w:p>
      <w:pPr>
        <w:pStyle w:val="BodyText"/>
        <w:ind w:left="357"/>
        <w:spacing w:before="65" w:line="219" w:lineRule="auto"/>
        <w:rPr/>
      </w:pPr>
      <w:r>
        <w:rPr>
          <w:b/>
          <w:bCs/>
          <w:spacing w:val="-9"/>
        </w:rPr>
        <w:t>推免办法、推免名额分配方案等。</w:t>
      </w:r>
    </w:p>
    <w:p>
      <w:pPr>
        <w:spacing w:line="255" w:lineRule="auto"/>
        <w:rPr>
          <w:rFonts w:ascii="Arial"/>
          <w:sz w:val="21"/>
        </w:rPr>
      </w:pPr>
      <w:r/>
    </w:p>
    <w:p>
      <w:pPr>
        <w:pStyle w:val="BodyText"/>
        <w:ind w:left="357" w:right="1167" w:firstLine="379"/>
        <w:spacing w:before="65" w:line="506" w:lineRule="auto"/>
        <w:rPr/>
      </w:pPr>
      <w:r>
        <w:rPr>
          <w:b/>
          <w:bCs/>
          <w:spacing w:val="1"/>
        </w:rPr>
        <w:t>2</w:t>
      </w:r>
      <w:r>
        <w:rPr>
          <w:spacing w:val="-37"/>
        </w:rPr>
        <w:t xml:space="preserve"> </w:t>
      </w:r>
      <w:r>
        <w:rPr>
          <w:b/>
          <w:bCs/>
          <w:spacing w:val="1"/>
        </w:rPr>
        <w:t>.</w:t>
      </w:r>
      <w:r>
        <w:rPr>
          <w:spacing w:val="-53"/>
        </w:rPr>
        <w:t xml:space="preserve"> </w:t>
      </w:r>
      <w:r>
        <w:rPr>
          <w:b/>
          <w:bCs/>
          <w:spacing w:val="1"/>
        </w:rPr>
        <w:t>2025年09月11日前，</w:t>
      </w:r>
      <w:r>
        <w:rPr>
          <w:spacing w:val="-34"/>
        </w:rPr>
        <w:t xml:space="preserve"> </w:t>
      </w:r>
      <w:r>
        <w:rPr>
          <w:b/>
          <w:bCs/>
          <w:spacing w:val="1"/>
        </w:rPr>
        <w:t>学生本人提出正式书面申请，填写化学系推免生申请材料和诚信</w:t>
      </w:r>
      <w:r>
        <w:rPr/>
        <w:t xml:space="preserve"> </w:t>
      </w:r>
      <w:r>
        <w:rPr>
          <w:b/>
          <w:bCs/>
          <w:spacing w:val="3"/>
        </w:rPr>
        <w:t>承诺书(包括支撑材料),并将纸质材料，提交至化学系教学办公室(实验楼318)。</w:t>
      </w:r>
    </w:p>
    <w:p>
      <w:pPr>
        <w:pStyle w:val="BodyText"/>
        <w:ind w:left="357" w:right="1177" w:firstLine="377"/>
        <w:spacing w:before="3" w:line="508" w:lineRule="auto"/>
        <w:jc w:val="both"/>
        <w:rPr/>
      </w:pPr>
      <w:r>
        <w:drawing>
          <wp:anchor distT="0" distB="0" distL="0" distR="0" simplePos="0" relativeHeight="251662336" behindDoc="0" locked="0" layoutInCell="1" allowOverlap="1">
            <wp:simplePos x="0" y="0"/>
            <wp:positionH relativeFrom="column">
              <wp:posOffset>6078533</wp:posOffset>
            </wp:positionH>
            <wp:positionV relativeFrom="paragraph">
              <wp:posOffset>1616005</wp:posOffset>
            </wp:positionV>
            <wp:extent cx="154894" cy="3888576"/>
            <wp:effectExtent l="0" t="0" r="0" b="0"/>
            <wp:wrapNone/>
            <wp:docPr id="8" name="IM 8"/>
            <wp:cNvGraphicFramePr/>
            <a:graphic>
              <a:graphicData uri="http://schemas.openxmlformats.org/drawingml/2006/picture">
                <pic:pic>
                  <pic:nvPicPr>
                    <pic:cNvPr id="8" name="IM 8"/>
                    <pic:cNvPicPr/>
                  </pic:nvPicPr>
                  <pic:blipFill>
                    <a:blip r:embed="rId7"/>
                    <a:stretch>
                      <a:fillRect/>
                    </a:stretch>
                  </pic:blipFill>
                  <pic:spPr>
                    <a:xfrm rot="0">
                      <a:off x="0" y="0"/>
                      <a:ext cx="154894" cy="3888576"/>
                    </a:xfrm>
                    <a:prstGeom prst="rect">
                      <a:avLst/>
                    </a:prstGeom>
                  </pic:spPr>
                </pic:pic>
              </a:graphicData>
            </a:graphic>
          </wp:anchor>
        </w:drawing>
      </w:r>
      <w:r>
        <w:rPr/>
        <w:t>3.202</w:t>
      </w:r>
      <w:r>
        <w:rPr>
          <w:spacing w:val="61"/>
        </w:rPr>
        <w:t xml:space="preserve"> </w:t>
      </w:r>
      <w:r>
        <w:rPr>
          <w:b/>
          <w:bCs/>
        </w:rPr>
        <w:t>5年09月13日前，</w:t>
      </w:r>
      <w:r>
        <w:rPr>
          <w:spacing w:val="-44"/>
        </w:rPr>
        <w:t xml:space="preserve"> </w:t>
      </w:r>
      <w:r>
        <w:rPr>
          <w:b/>
          <w:bCs/>
        </w:rPr>
        <w:t>化学系推免生遴选工作小组视申请情况，必要时针对特殊学术专</w:t>
      </w:r>
      <w:r>
        <w:rPr/>
        <w:t xml:space="preserve"> </w:t>
      </w:r>
      <w:r>
        <w:rPr>
          <w:b/>
          <w:bCs/>
          <w:spacing w:val="-5"/>
        </w:rPr>
        <w:t>长事宜，组织公开答辩。学术专长审核小组成员应具有相关学科副教授以上职称”,一般不少于5</w:t>
      </w:r>
      <w:r>
        <w:rPr/>
        <w:t xml:space="preserve"> </w:t>
      </w:r>
      <w:r>
        <w:rPr>
          <w:b/>
          <w:bCs/>
          <w:spacing w:val="-10"/>
        </w:rPr>
        <w:t>人。对学生提交的多篇科研成果实行代表作评价，评价重点聚焦到创新质量和个人贡献。专家审核</w:t>
      </w:r>
      <w:r>
        <w:rPr>
          <w:spacing w:val="14"/>
        </w:rPr>
        <w:t xml:space="preserve"> </w:t>
      </w:r>
      <w:r>
        <w:rPr>
          <w:b/>
          <w:bCs/>
          <w:spacing w:val="-10"/>
        </w:rPr>
        <w:t>小组及每位成员都要给出明确审核鉴定意见并签字存档。答辩</w:t>
      </w:r>
      <w:r>
        <w:rPr>
          <w:b/>
          <w:bCs/>
          <w:spacing w:val="-11"/>
        </w:rPr>
        <w:t>全程要录音录像，答辩结果要公开公</w:t>
      </w:r>
      <w:r>
        <w:rPr/>
        <w:t xml:space="preserve">  </w:t>
      </w:r>
      <w:r>
        <w:rPr>
          <w:b/>
          <w:bCs/>
          <w:spacing w:val="-9"/>
        </w:rPr>
        <w:t>示。通过审核鉴定或答辩的学生特殊学术专</w:t>
      </w:r>
      <w:r>
        <w:rPr>
          <w:b/>
          <w:bCs/>
          <w:spacing w:val="-10"/>
        </w:rPr>
        <w:t>长，须在本单位网站和推免系统上予以公示。未通过审</w:t>
      </w:r>
      <w:r>
        <w:rPr/>
        <w:t xml:space="preserve"> </w:t>
      </w:r>
      <w:r>
        <w:rPr>
          <w:b/>
          <w:bCs/>
          <w:spacing w:val="-10"/>
        </w:rPr>
        <w:t>核鉴定或答辩的，不得计入推免遴选综合评价成绩。学生与直系亲属或学历、职称、职务明显高于</w:t>
      </w:r>
      <w:r>
        <w:rPr>
          <w:spacing w:val="14"/>
        </w:rPr>
        <w:t xml:space="preserve"> </w:t>
      </w:r>
      <w:r>
        <w:rPr>
          <w:b/>
          <w:bCs/>
          <w:spacing w:val="-9"/>
        </w:rPr>
        <w:t>本人者合作的科研成果、竞赛奖项等仅作为</w:t>
      </w:r>
      <w:r>
        <w:rPr>
          <w:b/>
          <w:bCs/>
          <w:spacing w:val="-10"/>
        </w:rPr>
        <w:t>参考，不计入推免遴选综合评价成绩，同等条件下可优</w:t>
      </w:r>
    </w:p>
    <w:p>
      <w:pPr>
        <w:pStyle w:val="BodyText"/>
        <w:ind w:left="357"/>
        <w:spacing w:before="7" w:line="219" w:lineRule="auto"/>
        <w:rPr/>
      </w:pPr>
      <w:r>
        <w:rPr>
          <w:b/>
          <w:bCs/>
          <w:spacing w:val="-10"/>
        </w:rPr>
        <w:t>先考虑。</w:t>
      </w:r>
    </w:p>
    <w:p>
      <w:pPr>
        <w:spacing w:line="256" w:lineRule="auto"/>
        <w:rPr>
          <w:rFonts w:ascii="Arial"/>
          <w:sz w:val="21"/>
        </w:rPr>
      </w:pPr>
      <w:r/>
    </w:p>
    <w:p>
      <w:pPr>
        <w:pStyle w:val="BodyText"/>
        <w:ind w:left="734"/>
        <w:spacing w:before="65" w:line="219" w:lineRule="auto"/>
        <w:rPr/>
      </w:pPr>
      <w:r>
        <w:rPr>
          <w:spacing w:val="3"/>
        </w:rPr>
        <w:t>4.2 </w:t>
      </w:r>
      <w:r>
        <w:rPr>
          <w:b/>
          <w:bCs/>
          <w:spacing w:val="3"/>
        </w:rPr>
        <w:t>025年09月13日前，化学系确定拟推荐名单，</w:t>
      </w:r>
      <w:r>
        <w:rPr>
          <w:spacing w:val="-22"/>
        </w:rPr>
        <w:t xml:space="preserve"> </w:t>
      </w:r>
      <w:r>
        <w:rPr>
          <w:b/>
          <w:bCs/>
          <w:spacing w:val="3"/>
        </w:rPr>
        <w:t>将拟推荐名单(含学号、姓名、综合评</w:t>
      </w:r>
    </w:p>
    <w:p>
      <w:pPr>
        <w:spacing w:line="275" w:lineRule="auto"/>
        <w:rPr>
          <w:rFonts w:ascii="Arial"/>
          <w:sz w:val="21"/>
        </w:rPr>
      </w:pPr>
      <w:r/>
    </w:p>
    <w:p>
      <w:pPr>
        <w:pStyle w:val="BodyText"/>
        <w:ind w:left="357"/>
        <w:spacing w:before="65" w:line="218" w:lineRule="auto"/>
        <w:rPr/>
      </w:pPr>
      <w:r>
        <w:rPr>
          <w:b/>
          <w:bCs/>
          <w:spacing w:val="2"/>
        </w:rPr>
        <w:t>价成绩等)、学术专长内容及加分情况(如有)在院(系)网站，进行公示。在教务系统中填</w:t>
      </w:r>
      <w:r>
        <w:rPr>
          <w:b/>
          <w:bCs/>
          <w:spacing w:val="1"/>
        </w:rPr>
        <w:t>报拟</w:t>
      </w:r>
    </w:p>
    <w:p>
      <w:pPr>
        <w:spacing w:line="277" w:lineRule="auto"/>
        <w:rPr>
          <w:rFonts w:ascii="Arial"/>
          <w:sz w:val="21"/>
        </w:rPr>
      </w:pPr>
      <w:r/>
    </w:p>
    <w:p>
      <w:pPr>
        <w:pStyle w:val="BodyText"/>
        <w:ind w:left="357"/>
        <w:spacing w:before="66" w:line="219" w:lineRule="auto"/>
        <w:rPr/>
      </w:pPr>
      <w:r>
        <w:rPr>
          <w:b/>
          <w:bCs/>
          <w:spacing w:val="-7"/>
        </w:rPr>
        <w:t>推荐学生信息。</w:t>
      </w:r>
    </w:p>
    <w:p>
      <w:pPr>
        <w:spacing w:line="256" w:lineRule="auto"/>
        <w:rPr>
          <w:rFonts w:ascii="Arial"/>
          <w:sz w:val="21"/>
        </w:rPr>
      </w:pPr>
      <w:r/>
    </w:p>
    <w:p>
      <w:pPr>
        <w:pStyle w:val="BodyText"/>
        <w:ind w:left="597"/>
        <w:spacing w:before="65" w:line="219" w:lineRule="auto"/>
        <w:outlineLvl w:val="0"/>
        <w:rPr/>
      </w:pPr>
      <w:r>
        <w:rPr>
          <w:b/>
          <w:bCs/>
          <w:spacing w:val="9"/>
        </w:rPr>
        <w:t>5.2025年09月14日前，提交各类推</w:t>
      </w:r>
      <w:r>
        <w:rPr>
          <w:b/>
          <w:bCs/>
          <w:spacing w:val="8"/>
        </w:rPr>
        <w:t>免材料至教务处。</w:t>
      </w:r>
    </w:p>
    <w:p>
      <w:pPr>
        <w:spacing w:line="243" w:lineRule="auto"/>
        <w:rPr>
          <w:rFonts w:ascii="Arial"/>
          <w:sz w:val="21"/>
        </w:rPr>
      </w:pPr>
      <w:r/>
    </w:p>
    <w:p>
      <w:pPr>
        <w:pStyle w:val="BodyText"/>
        <w:ind w:left="357"/>
        <w:spacing w:before="68" w:line="219" w:lineRule="auto"/>
        <w:outlineLvl w:val="4"/>
        <w:rPr>
          <w:sz w:val="21"/>
          <w:szCs w:val="21"/>
        </w:rPr>
      </w:pPr>
      <w:r>
        <w:rPr>
          <w:rFonts w:ascii="KaiTi" w:hAnsi="KaiTi" w:eastAsia="KaiTi" w:cs="KaiTi"/>
          <w:sz w:val="21"/>
          <w:szCs w:val="21"/>
          <w:b/>
          <w:bCs/>
          <w:spacing w:val="-17"/>
        </w:rPr>
        <w:t>六、</w:t>
      </w:r>
      <w:r>
        <w:rPr>
          <w:sz w:val="21"/>
          <w:szCs w:val="21"/>
          <w:b/>
          <w:bCs/>
          <w:spacing w:val="-17"/>
        </w:rPr>
        <w:t>推荐条件</w:t>
      </w:r>
    </w:p>
    <w:p>
      <w:pPr>
        <w:spacing w:line="263" w:lineRule="auto"/>
        <w:rPr>
          <w:rFonts w:ascii="Arial"/>
          <w:sz w:val="21"/>
        </w:rPr>
      </w:pPr>
      <w:r/>
    </w:p>
    <w:p>
      <w:pPr>
        <w:pStyle w:val="BodyText"/>
        <w:ind w:left="734"/>
        <w:spacing w:before="66" w:line="219" w:lineRule="auto"/>
        <w:rPr/>
      </w:pPr>
      <w:r>
        <w:rPr>
          <w:spacing w:val="-10"/>
        </w:rPr>
        <w:t>1.</w:t>
      </w:r>
      <w:r>
        <w:rPr>
          <w:b/>
          <w:bCs/>
          <w:spacing w:val="-10"/>
        </w:rPr>
        <w:t>被推荐者应符合以下基本条件：</w:t>
      </w:r>
    </w:p>
    <w:p>
      <w:pPr>
        <w:pStyle w:val="BodyText"/>
        <w:ind w:left="877"/>
        <w:spacing w:before="273" w:line="219" w:lineRule="auto"/>
        <w:outlineLvl w:val="4"/>
        <w:rPr>
          <w:sz w:val="21"/>
          <w:szCs w:val="21"/>
        </w:rPr>
      </w:pPr>
      <w:r>
        <w:rPr>
          <w:sz w:val="21"/>
          <w:szCs w:val="21"/>
          <w:b/>
          <w:bCs/>
          <w:spacing w:val="-7"/>
        </w:rPr>
        <w:t>(1)为我校2026年应届本科毕业生(指纳入国家普通本科招生计划录取的应届毕业生，不</w:t>
      </w:r>
    </w:p>
    <w:p>
      <w:pPr>
        <w:spacing w:line="271" w:lineRule="auto"/>
        <w:rPr>
          <w:rFonts w:ascii="Arial"/>
          <w:sz w:val="21"/>
        </w:rPr>
      </w:pPr>
      <w:r/>
    </w:p>
    <w:p>
      <w:pPr>
        <w:pStyle w:val="BodyText"/>
        <w:ind w:left="357"/>
        <w:spacing w:before="69" w:line="219" w:lineRule="auto"/>
        <w:rPr>
          <w:sz w:val="21"/>
          <w:szCs w:val="21"/>
        </w:rPr>
      </w:pPr>
      <w:r>
        <w:rPr>
          <w:sz w:val="21"/>
          <w:szCs w:val="21"/>
          <w:b/>
          <w:bCs/>
          <w:spacing w:val="-17"/>
        </w:rPr>
        <w:t>含专升本、第二学士学位、独立学院学生)。</w:t>
      </w:r>
    </w:p>
    <w:p>
      <w:pPr>
        <w:pStyle w:val="BodyText"/>
        <w:ind w:left="887"/>
        <w:spacing w:before="270" w:line="219" w:lineRule="auto"/>
        <w:outlineLvl w:val="4"/>
        <w:rPr/>
      </w:pPr>
      <w:r>
        <w:rPr>
          <w:b/>
          <w:bCs/>
          <w:spacing w:val="-6"/>
        </w:rPr>
        <w:t>(2)品德优良。热爱祖国，拥护中国共产党的领导，遵守宪法和法律，遵守学校规章制度，</w:t>
      </w:r>
    </w:p>
    <w:p>
      <w:pPr>
        <w:spacing w:line="297" w:lineRule="auto"/>
        <w:rPr>
          <w:rFonts w:ascii="Arial"/>
          <w:sz w:val="21"/>
        </w:rPr>
      </w:pPr>
      <w:r/>
    </w:p>
    <w:p>
      <w:pPr>
        <w:pStyle w:val="BodyText"/>
        <w:ind w:left="357"/>
        <w:spacing w:before="65" w:line="219" w:lineRule="auto"/>
        <w:rPr/>
      </w:pPr>
      <w:r>
        <w:rPr>
          <w:b/>
          <w:bCs/>
          <w:spacing w:val="-10"/>
        </w:rPr>
        <w:t>诚实守信，道德品质优良。</w:t>
      </w:r>
    </w:p>
    <w:p>
      <w:pPr>
        <w:spacing w:line="219" w:lineRule="auto"/>
        <w:sectPr>
          <w:footerReference w:type="default" r:id="rId6"/>
          <w:pgSz w:w="11900" w:h="16840"/>
          <w:pgMar w:top="1431" w:right="298" w:bottom="1894" w:left="1785" w:header="0" w:footer="1759" w:gutter="0"/>
        </w:sectPr>
        <w:rPr/>
      </w:pPr>
    </w:p>
    <w:p>
      <w:pPr>
        <w:spacing w:line="292" w:lineRule="auto"/>
        <w:rPr>
          <w:rFonts w:ascii="Arial"/>
          <w:sz w:val="21"/>
        </w:rPr>
      </w:pPr>
      <w:r/>
    </w:p>
    <w:p>
      <w:pPr>
        <w:spacing w:line="292" w:lineRule="auto"/>
        <w:rPr>
          <w:rFonts w:ascii="Arial"/>
          <w:sz w:val="21"/>
        </w:rPr>
      </w:pPr>
      <w:r/>
    </w:p>
    <w:p>
      <w:pPr>
        <w:spacing w:line="292" w:lineRule="auto"/>
        <w:rPr>
          <w:rFonts w:ascii="Arial"/>
          <w:sz w:val="21"/>
        </w:rPr>
      </w:pPr>
      <w:r/>
    </w:p>
    <w:p>
      <w:pPr>
        <w:pStyle w:val="BodyText"/>
        <w:ind w:left="984"/>
        <w:spacing w:before="65" w:line="219" w:lineRule="auto"/>
        <w:rPr/>
      </w:pPr>
      <w:r>
        <w:rPr>
          <w:spacing w:val="-1"/>
        </w:rPr>
        <w:t>(3)身体健康，达到国家规定的体检标准。</w:t>
      </w:r>
    </w:p>
    <w:p>
      <w:pPr>
        <w:spacing w:line="274" w:lineRule="auto"/>
        <w:rPr>
          <w:rFonts w:ascii="Arial"/>
          <w:sz w:val="21"/>
        </w:rPr>
      </w:pPr>
      <w:r/>
    </w:p>
    <w:p>
      <w:pPr>
        <w:pStyle w:val="BodyText"/>
        <w:ind w:left="984"/>
        <w:spacing w:before="65" w:line="219" w:lineRule="auto"/>
        <w:rPr/>
      </w:pPr>
      <w:r>
        <w:rPr/>
        <w:t>(4)学习成绩优良。截止到本办法公布之日，修读完大一到大</w:t>
      </w:r>
      <w:r>
        <w:rPr>
          <w:spacing w:val="-1"/>
        </w:rPr>
        <w:t>三所在培养单位(含联合培养</w:t>
      </w:r>
    </w:p>
    <w:p>
      <w:pPr>
        <w:pStyle w:val="BodyText"/>
        <w:ind w:left="455"/>
        <w:spacing w:before="304" w:line="219" w:lineRule="auto"/>
        <w:rPr/>
      </w:pPr>
      <w:r>
        <w:rPr>
          <w:spacing w:val="1"/>
        </w:rPr>
        <w:t>单位)的必修课程，且其中未通过的必修课程不得超过2门。</w:t>
      </w:r>
    </w:p>
    <w:p>
      <w:pPr>
        <w:spacing w:line="245" w:lineRule="auto"/>
        <w:rPr>
          <w:rFonts w:ascii="Arial"/>
          <w:sz w:val="21"/>
        </w:rPr>
      </w:pPr>
      <w:r/>
    </w:p>
    <w:p>
      <w:pPr>
        <w:pStyle w:val="BodyText"/>
        <w:ind w:left="455" w:right="39" w:firstLine="529"/>
        <w:spacing w:before="65" w:line="500" w:lineRule="auto"/>
        <w:rPr/>
      </w:pPr>
      <w:r>
        <w:rPr>
          <w:spacing w:val="-3"/>
        </w:rPr>
        <w:t>(5)申请“卓越教师培养项目”者须为我校本科师范专业学生。申请“国优计划”项目者须</w:t>
      </w:r>
      <w:r>
        <w:rPr>
          <w:spacing w:val="12"/>
        </w:rPr>
        <w:t xml:space="preserve"> </w:t>
      </w:r>
      <w:r>
        <w:rPr>
          <w:spacing w:val="-6"/>
        </w:rPr>
        <w:t>为我校本科授予理学或工学学士学位专业的学生。</w:t>
      </w:r>
    </w:p>
    <w:p>
      <w:pPr>
        <w:pStyle w:val="BodyText"/>
        <w:ind w:right="32"/>
        <w:spacing w:before="5" w:line="219" w:lineRule="auto"/>
        <w:jc w:val="right"/>
        <w:rPr/>
      </w:pPr>
      <w:r>
        <w:rPr>
          <w:spacing w:val="2"/>
        </w:rPr>
        <w:t>(6)委培生、定向生，应向所在院(系)出具原委培、定向单位同意推荐的证明并经审核同</w:t>
      </w:r>
    </w:p>
    <w:p>
      <w:pPr>
        <w:spacing w:line="265" w:lineRule="auto"/>
        <w:rPr>
          <w:rFonts w:ascii="Arial"/>
          <w:sz w:val="21"/>
        </w:rPr>
      </w:pPr>
      <w:r/>
    </w:p>
    <w:p>
      <w:pPr>
        <w:pStyle w:val="BodyText"/>
        <w:ind w:left="455"/>
        <w:spacing w:before="66" w:line="227" w:lineRule="auto"/>
        <w:rPr/>
      </w:pPr>
      <w:r>
        <w:rPr>
          <w:spacing w:val="-7"/>
        </w:rPr>
        <w:t>意。</w:t>
      </w:r>
    </w:p>
    <w:p>
      <w:pPr>
        <w:pStyle w:val="BodyText"/>
        <w:ind w:left="455"/>
        <w:spacing w:before="305" w:line="219" w:lineRule="auto"/>
        <w:rPr/>
      </w:pPr>
      <w:r>
        <w:rPr>
          <w:rFonts w:ascii="Times New Roman" w:hAnsi="Times New Roman" w:eastAsia="Times New Roman" w:cs="Times New Roman"/>
          <w:spacing w:val="-3"/>
        </w:rPr>
        <w:t>2.   </w:t>
      </w:r>
      <w:r>
        <w:rPr>
          <w:spacing w:val="-3"/>
        </w:rPr>
        <w:t>有以下各项之一者不能推荐：</w:t>
      </w:r>
    </w:p>
    <w:p>
      <w:pPr>
        <w:pStyle w:val="BodyText"/>
        <w:ind w:left="555"/>
        <w:spacing w:before="305" w:line="219" w:lineRule="auto"/>
        <w:rPr>
          <w:sz w:val="22"/>
          <w:szCs w:val="22"/>
        </w:rPr>
      </w:pPr>
      <w:r>
        <w:rPr>
          <w:sz w:val="22"/>
          <w:szCs w:val="22"/>
          <w:spacing w:val="-14"/>
        </w:rPr>
        <w:t>(1)有任何考试作弊行为者。</w:t>
      </w:r>
    </w:p>
    <w:p>
      <w:pPr>
        <w:spacing w:line="251" w:lineRule="auto"/>
        <w:rPr>
          <w:rFonts w:ascii="Arial"/>
          <w:sz w:val="21"/>
        </w:rPr>
      </w:pPr>
      <w:r/>
    </w:p>
    <w:p>
      <w:pPr>
        <w:pStyle w:val="BodyText"/>
        <w:ind w:left="555"/>
        <w:spacing w:before="65" w:line="219" w:lineRule="auto"/>
        <w:rPr/>
      </w:pPr>
      <w:r>
        <w:rPr>
          <w:spacing w:val="1"/>
        </w:rPr>
        <w:t>(2)有剽窃他人学术成果记录者。</w:t>
      </w:r>
    </w:p>
    <w:p>
      <w:pPr>
        <w:spacing w:line="256" w:lineRule="auto"/>
        <w:rPr>
          <w:rFonts w:ascii="Arial"/>
          <w:sz w:val="21"/>
        </w:rPr>
      </w:pPr>
      <w:r/>
    </w:p>
    <w:p>
      <w:pPr>
        <w:pStyle w:val="BodyText"/>
        <w:ind w:left="555"/>
        <w:spacing w:before="65" w:line="219" w:lineRule="auto"/>
        <w:rPr/>
      </w:pPr>
      <w:r>
        <w:rPr>
          <w:spacing w:val="1"/>
        </w:rPr>
        <w:t>(3)在校期间受处分且未解除者。</w:t>
      </w:r>
    </w:p>
    <w:p>
      <w:pPr>
        <w:pStyle w:val="BodyText"/>
        <w:ind w:left="555"/>
        <w:spacing w:before="312" w:line="219" w:lineRule="auto"/>
        <w:rPr>
          <w:sz w:val="22"/>
          <w:szCs w:val="22"/>
        </w:rPr>
      </w:pPr>
      <w:r>
        <w:rPr>
          <w:sz w:val="22"/>
          <w:szCs w:val="22"/>
          <w:spacing w:val="-17"/>
        </w:rPr>
        <w:t>(4)在申请推免生过程中弄虚作假者。</w:t>
      </w:r>
    </w:p>
    <w:p>
      <w:pPr>
        <w:spacing w:line="262" w:lineRule="auto"/>
        <w:rPr>
          <w:rFonts w:ascii="Arial"/>
          <w:sz w:val="21"/>
        </w:rPr>
      </w:pPr>
      <w:r/>
    </w:p>
    <w:p>
      <w:pPr>
        <w:spacing w:line="262" w:lineRule="auto"/>
        <w:rPr>
          <w:rFonts w:ascii="Arial"/>
          <w:sz w:val="21"/>
        </w:rPr>
      </w:pPr>
      <w:r/>
    </w:p>
    <w:p>
      <w:pPr>
        <w:spacing w:line="262" w:lineRule="auto"/>
        <w:rPr>
          <w:rFonts w:ascii="Arial"/>
          <w:sz w:val="21"/>
        </w:rPr>
      </w:pPr>
      <w:r/>
    </w:p>
    <w:p>
      <w:pPr>
        <w:pStyle w:val="BodyText"/>
        <w:ind w:left="455"/>
        <w:spacing w:before="66" w:line="219" w:lineRule="auto"/>
        <w:rPr/>
      </w:pPr>
      <w:r>
        <w:rPr>
          <w:spacing w:val="-7"/>
        </w:rPr>
        <w:t>七、</w:t>
      </w:r>
      <w:r>
        <w:rPr>
          <w:b/>
          <w:bCs/>
          <w:spacing w:val="-7"/>
        </w:rPr>
        <w:t>推免生资格确定办法</w:t>
      </w:r>
    </w:p>
    <w:p>
      <w:pPr>
        <w:spacing w:line="277" w:lineRule="auto"/>
        <w:rPr>
          <w:rFonts w:ascii="Arial"/>
          <w:sz w:val="21"/>
        </w:rPr>
      </w:pPr>
      <w:r/>
    </w:p>
    <w:p>
      <w:pPr>
        <w:pStyle w:val="BodyText"/>
        <w:ind w:left="455" w:right="88"/>
        <w:spacing w:before="66" w:line="507" w:lineRule="auto"/>
        <w:rPr/>
      </w:pPr>
      <w:r>
        <w:rPr>
          <w:rFonts w:ascii="Times New Roman" w:hAnsi="Times New Roman" w:eastAsia="Times New Roman" w:cs="Times New Roman"/>
          <w:spacing w:val="1"/>
        </w:rPr>
        <w:t>1.  </w:t>
      </w:r>
      <w:r>
        <w:rPr>
          <w:spacing w:val="1"/>
        </w:rPr>
        <w:t>对学生进行综合评价，按综合评价成</w:t>
      </w:r>
      <w:r>
        <w:rPr/>
        <w:t>绩(按百分制计算)排名择优录取。综合评价成绩包含学 </w:t>
      </w:r>
      <w:r>
        <w:rPr>
          <w:spacing w:val="-8"/>
        </w:rPr>
        <w:t>业成绩和奖励加分，具体细则如下：</w:t>
      </w:r>
    </w:p>
    <w:p>
      <w:pPr>
        <w:pStyle w:val="BodyText"/>
        <w:ind w:left="558"/>
        <w:spacing w:before="1" w:line="219" w:lineRule="auto"/>
        <w:outlineLvl w:val="4"/>
        <w:rPr>
          <w:sz w:val="22"/>
          <w:szCs w:val="22"/>
        </w:rPr>
      </w:pPr>
      <w:r>
        <w:rPr>
          <w:sz w:val="22"/>
          <w:szCs w:val="22"/>
          <w:b/>
          <w:bCs/>
          <w:spacing w:val="-19"/>
        </w:rPr>
        <w:t>(一)学业成绩计算办法：</w:t>
      </w:r>
    </w:p>
    <w:p>
      <w:pPr>
        <w:pStyle w:val="BodyText"/>
        <w:ind w:left="555" w:right="88"/>
        <w:spacing w:before="301" w:line="355" w:lineRule="auto"/>
        <w:rPr>
          <w:sz w:val="21"/>
          <w:szCs w:val="21"/>
        </w:rPr>
      </w:pPr>
      <w:r>
        <w:rPr>
          <w:sz w:val="21"/>
          <w:szCs w:val="21"/>
          <w:spacing w:val="-8"/>
        </w:rPr>
        <w:t>(1)截止到院(系)推免规定的报名时间，教务系统学生主修成绩单中，显示的课程成绩，经院</w:t>
      </w:r>
      <w:r>
        <w:rPr>
          <w:sz w:val="21"/>
          <w:szCs w:val="21"/>
          <w:spacing w:val="9"/>
        </w:rPr>
        <w:t xml:space="preserve"> </w:t>
      </w:r>
      <w:r>
        <w:rPr>
          <w:sz w:val="21"/>
          <w:szCs w:val="21"/>
          <w:spacing w:val="-13"/>
        </w:rPr>
        <w:t>(系)确认无误，按百分制分数，进行导出，并依托以下原则纳入计算。</w:t>
      </w:r>
    </w:p>
    <w:p>
      <w:pPr>
        <w:spacing w:line="255" w:lineRule="auto"/>
        <w:rPr>
          <w:rFonts w:ascii="Arial"/>
          <w:sz w:val="21"/>
        </w:rPr>
      </w:pPr>
      <w:r/>
    </w:p>
    <w:p>
      <w:pPr>
        <w:pStyle w:val="BodyText"/>
        <w:ind w:left="555"/>
        <w:spacing w:before="66" w:line="219" w:lineRule="auto"/>
        <w:rPr/>
      </w:pPr>
      <w:r>
        <w:rPr/>
        <w:t>(2)对于通识选修课程计入的规定：</w:t>
      </w:r>
    </w:p>
    <w:p>
      <w:pPr>
        <w:pStyle w:val="BodyText"/>
        <w:spacing w:before="290" w:line="212" w:lineRule="auto"/>
        <w:jc w:val="right"/>
        <w:rPr/>
      </w:pPr>
      <w:r>
        <w:rPr>
          <w:spacing w:val="-4"/>
        </w:rPr>
        <w:t>(</w:t>
      </w:r>
      <w:r>
        <w:rPr>
          <w:rFonts w:ascii="Times New Roman" w:hAnsi="Times New Roman" w:eastAsia="Times New Roman" w:cs="Times New Roman"/>
          <w:spacing w:val="-4"/>
        </w:rPr>
        <w:t>A) </w:t>
      </w:r>
      <w:r>
        <w:rPr>
          <w:spacing w:val="-4"/>
        </w:rPr>
        <w:t>对于全程本部培养的学生，教务系统内显</w:t>
      </w:r>
      <w:r>
        <w:rPr>
          <w:spacing w:val="-5"/>
        </w:rPr>
        <w:t>示标注为通识选修(含标注为艺术修养与审美体验、</w:t>
      </w:r>
    </w:p>
    <w:p>
      <w:pPr>
        <w:spacing w:line="294" w:lineRule="auto"/>
        <w:rPr>
          <w:rFonts w:ascii="Arial"/>
          <w:sz w:val="21"/>
        </w:rPr>
      </w:pPr>
      <w:r/>
    </w:p>
    <w:p>
      <w:pPr>
        <w:pStyle w:val="BodyText"/>
        <w:ind w:left="455"/>
        <w:spacing w:before="65" w:line="219" w:lineRule="auto"/>
        <w:rPr/>
      </w:pPr>
      <w:r>
        <w:rPr>
          <w:spacing w:val="-7"/>
        </w:rPr>
        <w:t>教育理解与教师素养、人文精神与社会认知、身心</w:t>
      </w:r>
      <w:r>
        <w:rPr>
          <w:spacing w:val="-8"/>
        </w:rPr>
        <w:t>健康与职业发展、科学精神与自然关怀、语言艺</w:t>
      </w:r>
    </w:p>
    <w:p>
      <w:pPr>
        <w:spacing w:line="219" w:lineRule="auto"/>
        <w:sectPr>
          <w:footerReference w:type="default" r:id="rId8"/>
          <w:pgSz w:w="11900" w:h="16840"/>
          <w:pgMar w:top="1431" w:right="1300" w:bottom="1899" w:left="1785" w:header="0" w:footer="1781" w:gutter="0"/>
        </w:sectPr>
        <w:rPr/>
      </w:pPr>
    </w:p>
    <w:p>
      <w:pPr>
        <w:spacing w:line="304" w:lineRule="auto"/>
        <w:rPr>
          <w:rFonts w:ascii="Arial"/>
          <w:sz w:val="21"/>
        </w:rPr>
      </w:pPr>
      <w:r/>
    </w:p>
    <w:p>
      <w:pPr>
        <w:spacing w:line="304" w:lineRule="auto"/>
        <w:rPr>
          <w:rFonts w:ascii="Arial"/>
          <w:sz w:val="21"/>
        </w:rPr>
      </w:pPr>
      <w:r/>
    </w:p>
    <w:p>
      <w:pPr>
        <w:spacing w:line="305" w:lineRule="auto"/>
        <w:rPr>
          <w:rFonts w:ascii="Arial"/>
          <w:sz w:val="21"/>
        </w:rPr>
      </w:pPr>
      <w:r/>
    </w:p>
    <w:p>
      <w:pPr>
        <w:pStyle w:val="BodyText"/>
        <w:ind w:left="207" w:right="1137"/>
        <w:spacing w:before="65" w:line="510" w:lineRule="auto"/>
        <w:jc w:val="both"/>
        <w:rPr/>
      </w:pPr>
      <w:r>
        <w:rPr>
          <w:b/>
          <w:bCs/>
          <w:spacing w:val="-5"/>
        </w:rPr>
        <w:t>术与文化交流等)类别的课程，以及课程类别当前显示为方案</w:t>
      </w:r>
      <w:r>
        <w:rPr>
          <w:b/>
          <w:bCs/>
          <w:spacing w:val="-6"/>
        </w:rPr>
        <w:t>外课程，但如经学分替换/认定等程</w:t>
      </w:r>
      <w:r>
        <w:rPr/>
        <w:t xml:space="preserve">  </w:t>
      </w:r>
      <w:r>
        <w:rPr>
          <w:b/>
          <w:bCs/>
        </w:rPr>
        <w:t>序，只能对等通识选修课程类别的课程，按照2022级本科人才培养方案所规</w:t>
      </w:r>
      <w:r>
        <w:rPr>
          <w:b/>
          <w:bCs/>
          <w:spacing w:val="-1"/>
        </w:rPr>
        <w:t>定的通识选修16学</w:t>
      </w:r>
      <w:r>
        <w:rPr/>
        <w:t xml:space="preserve">  </w:t>
      </w:r>
      <w:r>
        <w:rPr>
          <w:b/>
          <w:bCs/>
          <w:spacing w:val="-1"/>
        </w:rPr>
        <w:t>分的要求，最多纳入16学分(如此模块尚未修读满16学分，则将已修读的此模块课程全部纳入，</w:t>
      </w:r>
      <w:r>
        <w:rPr>
          <w:spacing w:val="5"/>
        </w:rPr>
        <w:t xml:space="preserve"> </w:t>
      </w:r>
      <w:r>
        <w:rPr>
          <w:b/>
          <w:bCs/>
          <w:spacing w:val="-10"/>
        </w:rPr>
        <w:t>且不得包含网络课程。纳入的课程清单，采取就高不就低的原则，但需要满足培养方案关于通识选</w:t>
      </w:r>
      <w:r>
        <w:rPr/>
        <w:t xml:space="preserve">  </w:t>
      </w:r>
      <w:r>
        <w:rPr>
          <w:b/>
          <w:bCs/>
          <w:spacing w:val="-7"/>
        </w:rPr>
        <w:t>修的要求)</w:t>
      </w:r>
      <w:r>
        <w:rPr>
          <w:spacing w:val="-7"/>
        </w:rPr>
        <w:t>,</w:t>
      </w:r>
      <w:r>
        <w:rPr>
          <w:spacing w:val="-9"/>
        </w:rPr>
        <w:t xml:space="preserve"> </w:t>
      </w:r>
      <w:r>
        <w:rPr>
          <w:b/>
          <w:bCs/>
          <w:spacing w:val="-7"/>
        </w:rPr>
        <w:t>进行成绩计算和排名。教务系统内课程类别显示标注为网络课程的，或者标注为其他</w:t>
      </w:r>
      <w:r>
        <w:rPr/>
        <w:t xml:space="preserve">  </w:t>
      </w:r>
      <w:r>
        <w:rPr>
          <w:b/>
          <w:bCs/>
          <w:spacing w:val="-8"/>
        </w:rPr>
        <w:t>课程类别，但是课程主要依托包括智慧树或其他类似网络平台修读的，均不纳入成绩计算。</w:t>
      </w:r>
    </w:p>
    <w:p>
      <w:pPr>
        <w:spacing w:line="477" w:lineRule="auto"/>
        <w:rPr>
          <w:rFonts w:ascii="Arial"/>
          <w:sz w:val="21"/>
        </w:rPr>
      </w:pPr>
      <w:r/>
    </w:p>
    <w:p>
      <w:pPr>
        <w:pStyle w:val="BodyText"/>
        <w:ind w:left="205"/>
        <w:spacing w:before="65" w:line="212" w:lineRule="auto"/>
        <w:rPr/>
      </w:pPr>
      <w:r>
        <w:rPr>
          <w:rFonts w:ascii="Times New Roman" w:hAnsi="Times New Roman" w:eastAsia="Times New Roman" w:cs="Times New Roman"/>
          <w:spacing w:val="-3"/>
        </w:rPr>
        <w:t>(B)</w:t>
      </w:r>
      <w:r>
        <w:rPr>
          <w:rFonts w:ascii="Times New Roman" w:hAnsi="Times New Roman" w:eastAsia="Times New Roman" w:cs="Times New Roman"/>
          <w:spacing w:val="15"/>
        </w:rPr>
        <w:t xml:space="preserve"> </w:t>
      </w:r>
      <w:r>
        <w:rPr>
          <w:b/>
          <w:bCs/>
          <w:spacing w:val="-3"/>
        </w:rPr>
        <w:t>对于外培生/双培生：通识选修的纳入学分，遵照外培生/双培生的</w:t>
      </w:r>
      <w:r>
        <w:rPr>
          <w:b/>
          <w:bCs/>
          <w:spacing w:val="-4"/>
        </w:rPr>
        <w:t>培养方案对通识选修模块</w:t>
      </w:r>
    </w:p>
    <w:p>
      <w:pPr>
        <w:spacing w:line="283" w:lineRule="auto"/>
        <w:rPr>
          <w:rFonts w:ascii="Arial"/>
          <w:sz w:val="21"/>
        </w:rPr>
      </w:pPr>
      <w:r>
        <w:drawing>
          <wp:anchor distT="0" distB="0" distL="0" distR="0" simplePos="0" relativeHeight="251666432" behindDoc="1" locked="0" layoutInCell="1" allowOverlap="1">
            <wp:simplePos x="0" y="0"/>
            <wp:positionH relativeFrom="column">
              <wp:posOffset>5995597</wp:posOffset>
            </wp:positionH>
            <wp:positionV relativeFrom="paragraph">
              <wp:posOffset>104454</wp:posOffset>
            </wp:positionV>
            <wp:extent cx="163752" cy="1257811"/>
            <wp:effectExtent l="0" t="0" r="0" b="0"/>
            <wp:wrapNone/>
            <wp:docPr id="10" name="IM 10"/>
            <wp:cNvGraphicFramePr/>
            <a:graphic>
              <a:graphicData uri="http://schemas.openxmlformats.org/drawingml/2006/picture">
                <pic:pic>
                  <pic:nvPicPr>
                    <pic:cNvPr id="10" name="IM 10"/>
                    <pic:cNvPicPr/>
                  </pic:nvPicPr>
                  <pic:blipFill>
                    <a:blip r:embed="rId10"/>
                    <a:stretch>
                      <a:fillRect/>
                    </a:stretch>
                  </pic:blipFill>
                  <pic:spPr>
                    <a:xfrm rot="0">
                      <a:off x="0" y="0"/>
                      <a:ext cx="163752" cy="1257811"/>
                    </a:xfrm>
                    <a:prstGeom prst="rect">
                      <a:avLst/>
                    </a:prstGeom>
                  </pic:spPr>
                </pic:pic>
              </a:graphicData>
            </a:graphic>
          </wp:anchor>
        </w:drawing>
      </w:r>
      <w:r/>
    </w:p>
    <w:p>
      <w:pPr>
        <w:pStyle w:val="BodyText"/>
        <w:ind w:left="207" w:right="1219"/>
        <w:spacing w:before="65" w:line="518" w:lineRule="auto"/>
        <w:rPr/>
      </w:pPr>
      <w:r>
        <w:rPr>
          <w:b/>
          <w:bCs/>
          <w:spacing w:val="-10"/>
        </w:rPr>
        <w:t>的学分要求，作为上限，进行成绩纳入和计算。涉及到成绩转换的，按照既往规定执行，以教务系</w:t>
      </w:r>
      <w:r>
        <w:rPr>
          <w:spacing w:val="11"/>
        </w:rPr>
        <w:t xml:space="preserve"> </w:t>
      </w:r>
      <w:r>
        <w:rPr>
          <w:b/>
          <w:bCs/>
          <w:spacing w:val="-8"/>
        </w:rPr>
        <w:t>统的登记为准。其他课程纳入原则，均参照上文中全</w:t>
      </w:r>
      <w:r>
        <w:rPr>
          <w:b/>
          <w:bCs/>
          <w:spacing w:val="-9"/>
        </w:rPr>
        <w:t>程本部培养学生进行。</w:t>
      </w:r>
    </w:p>
    <w:p>
      <w:pPr>
        <w:spacing w:line="453" w:lineRule="auto"/>
        <w:rPr>
          <w:rFonts w:ascii="Arial"/>
          <w:sz w:val="21"/>
        </w:rPr>
      </w:pPr>
      <w:r/>
    </w:p>
    <w:p>
      <w:pPr>
        <w:pStyle w:val="BodyText"/>
        <w:ind w:left="207"/>
        <w:spacing w:before="65" w:line="212" w:lineRule="auto"/>
        <w:rPr/>
      </w:pPr>
      <w:r>
        <w:rPr>
          <w:b/>
          <w:bCs/>
          <w:spacing w:val="-9"/>
        </w:rPr>
        <w:t>(</w:t>
      </w:r>
      <w:r>
        <w:rPr>
          <w:rFonts w:ascii="Times New Roman" w:hAnsi="Times New Roman" w:eastAsia="Times New Roman" w:cs="Times New Roman"/>
          <w:b/>
          <w:bCs/>
          <w:spacing w:val="-9"/>
        </w:rPr>
        <w:t>C)</w:t>
      </w:r>
      <w:r>
        <w:rPr>
          <w:rFonts w:ascii="Times New Roman" w:hAnsi="Times New Roman" w:eastAsia="Times New Roman" w:cs="Times New Roman"/>
          <w:b/>
          <w:bCs/>
          <w:spacing w:val="22"/>
          <w:w w:val="101"/>
        </w:rPr>
        <w:t xml:space="preserve"> </w:t>
      </w:r>
      <w:r>
        <w:rPr>
          <w:b/>
          <w:bCs/>
          <w:spacing w:val="-9"/>
        </w:rPr>
        <w:t>计算成绩时，学生相关课程的首次成绩作为推荐遴选的学业成绩。</w:t>
      </w:r>
    </w:p>
    <w:p>
      <w:pPr>
        <w:spacing w:line="270" w:lineRule="auto"/>
        <w:rPr>
          <w:rFonts w:ascii="Arial"/>
          <w:sz w:val="21"/>
        </w:rPr>
      </w:pPr>
      <w:r/>
    </w:p>
    <w:p>
      <w:pPr>
        <w:spacing w:line="270" w:lineRule="auto"/>
        <w:rPr>
          <w:rFonts w:ascii="Arial"/>
          <w:sz w:val="21"/>
        </w:rPr>
      </w:pPr>
      <w:r/>
    </w:p>
    <w:p>
      <w:pPr>
        <w:spacing w:line="271" w:lineRule="auto"/>
        <w:rPr>
          <w:rFonts w:ascii="Arial"/>
          <w:sz w:val="21"/>
        </w:rPr>
      </w:pPr>
      <w:r/>
    </w:p>
    <w:p>
      <w:pPr>
        <w:pStyle w:val="BodyText"/>
        <w:ind w:left="357"/>
        <w:spacing w:before="71" w:line="219" w:lineRule="auto"/>
        <w:outlineLvl w:val="4"/>
        <w:rPr>
          <w:sz w:val="22"/>
          <w:szCs w:val="22"/>
        </w:rPr>
      </w:pPr>
      <w:r>
        <w:rPr>
          <w:sz w:val="22"/>
          <w:szCs w:val="22"/>
          <w:b/>
          <w:bCs/>
          <w:spacing w:val="-20"/>
        </w:rPr>
        <w:t>(二)奖励加分计算办法：</w:t>
      </w:r>
    </w:p>
    <w:p>
      <w:pPr>
        <w:spacing w:line="241" w:lineRule="auto"/>
        <w:rPr>
          <w:rFonts w:ascii="Arial"/>
          <w:sz w:val="21"/>
        </w:rPr>
      </w:pPr>
      <w:r/>
    </w:p>
    <w:p>
      <w:pPr>
        <w:pStyle w:val="BodyText"/>
        <w:ind w:left="647"/>
        <w:spacing w:before="65" w:line="219" w:lineRule="auto"/>
        <w:rPr/>
      </w:pPr>
      <w:r>
        <w:rPr>
          <w:b/>
          <w:bCs/>
          <w:spacing w:val="-1"/>
        </w:rPr>
        <w:t>截止到院(系)推免规定的报名时间，学生在校期间有如下经历或</w:t>
      </w:r>
      <w:r>
        <w:rPr>
          <w:b/>
          <w:bCs/>
          <w:spacing w:val="-2"/>
        </w:rPr>
        <w:t>成绩者可获得奖励加分。</w:t>
      </w:r>
    </w:p>
    <w:p>
      <w:pPr>
        <w:spacing w:line="246" w:lineRule="auto"/>
        <w:rPr>
          <w:rFonts w:ascii="Arial"/>
          <w:sz w:val="21"/>
        </w:rPr>
      </w:pPr>
      <w:r/>
    </w:p>
    <w:p>
      <w:pPr>
        <w:pStyle w:val="BodyText"/>
        <w:ind w:left="207"/>
        <w:spacing w:before="66" w:line="219" w:lineRule="auto"/>
        <w:rPr/>
      </w:pPr>
      <w:r>
        <w:rPr>
          <w:b/>
          <w:bCs/>
          <w:spacing w:val="-2"/>
        </w:rPr>
        <w:t>学生最终加分不得超过4分。学生在某一方面中有多项加分情况时，原则上只取一项。</w:t>
      </w:r>
    </w:p>
    <w:p>
      <w:pPr>
        <w:spacing w:line="266" w:lineRule="auto"/>
        <w:rPr>
          <w:rFonts w:ascii="Arial"/>
          <w:sz w:val="21"/>
        </w:rPr>
      </w:pPr>
      <w:r/>
    </w:p>
    <w:p>
      <w:pPr>
        <w:pStyle w:val="BodyText"/>
        <w:ind w:left="357"/>
        <w:spacing w:before="65" w:line="219" w:lineRule="auto"/>
        <w:outlineLvl w:val="4"/>
        <w:rPr/>
      </w:pPr>
      <w:r>
        <w:rPr>
          <w:b/>
          <w:bCs/>
          <w:spacing w:val="-4"/>
        </w:rPr>
        <w:t>(1)奖学金加分只取可获得的最高奖项1项加分，不重复计分。学生获得国家奖学金的，加1分。</w:t>
      </w:r>
    </w:p>
    <w:p>
      <w:pPr>
        <w:spacing w:line="254" w:lineRule="auto"/>
        <w:rPr>
          <w:rFonts w:ascii="Arial"/>
          <w:sz w:val="21"/>
        </w:rPr>
      </w:pPr>
      <w:r/>
    </w:p>
    <w:p>
      <w:pPr>
        <w:pStyle w:val="BodyText"/>
        <w:ind w:left="207" w:right="1137"/>
        <w:spacing w:before="65" w:line="522" w:lineRule="auto"/>
        <w:rPr>
          <w:rFonts w:ascii="KaiTi" w:hAnsi="KaiTi" w:eastAsia="KaiTi" w:cs="KaiTi"/>
        </w:rPr>
      </w:pPr>
      <w:r>
        <w:rPr>
          <w:b/>
          <w:bCs/>
        </w:rPr>
        <w:t>获得校长奖学金的，加1分。获得首都师范大学一</w:t>
      </w:r>
      <w:r>
        <w:rPr>
          <w:b/>
          <w:bCs/>
          <w:spacing w:val="-1"/>
        </w:rPr>
        <w:t>等奖学金(或获得其他奖学金类型，但综合测</w:t>
      </w:r>
      <w:r>
        <w:rPr/>
        <w:t xml:space="preserve">  </w:t>
      </w:r>
      <w:r>
        <w:rPr>
          <w:b/>
          <w:bCs/>
          <w:spacing w:val="-1"/>
        </w:rPr>
        <w:t>评排名、课程通过情况等要求，符合当年首都师范大学一等奖学金评定对应条件的),</w:t>
      </w:r>
      <w:r>
        <w:rPr>
          <w:rFonts w:ascii="KaiTi" w:hAnsi="KaiTi" w:eastAsia="KaiTi" w:cs="KaiTi"/>
          <w:b/>
          <w:bCs/>
          <w:spacing w:val="-1"/>
        </w:rPr>
        <w:t>加0.5分。</w:t>
      </w:r>
    </w:p>
    <w:p>
      <w:pPr>
        <w:pStyle w:val="BodyText"/>
        <w:ind w:left="207"/>
        <w:spacing w:before="1" w:line="219" w:lineRule="auto"/>
        <w:rPr/>
      </w:pPr>
      <w:r>
        <w:rPr>
          <w:b/>
          <w:bCs/>
          <w:spacing w:val="-6"/>
        </w:rPr>
        <w:t>获得首都师范大学二等奖学金(或获得其他奖学金类型，但综合测评排名、课程通过情况等要求，</w:t>
      </w:r>
    </w:p>
    <w:p>
      <w:pPr>
        <w:spacing w:line="256" w:lineRule="auto"/>
        <w:rPr>
          <w:rFonts w:ascii="Arial"/>
          <w:sz w:val="21"/>
        </w:rPr>
      </w:pPr>
      <w:r/>
    </w:p>
    <w:p>
      <w:pPr>
        <w:pStyle w:val="BodyText"/>
        <w:ind w:left="207"/>
        <w:spacing w:before="65" w:line="219" w:lineRule="auto"/>
        <w:rPr/>
      </w:pPr>
      <w:r>
        <w:rPr>
          <w:b/>
          <w:bCs/>
        </w:rPr>
        <w:t>符合当年首都师范大学二等奖学金评定对应条件的)</w:t>
      </w:r>
      <w:r>
        <w:rPr>
          <w:b/>
          <w:bCs/>
          <w:spacing w:val="-1"/>
        </w:rPr>
        <w:t>的，加0.3分。获得首都师范大学三等及以</w:t>
      </w:r>
    </w:p>
    <w:p>
      <w:pPr>
        <w:spacing w:line="256" w:lineRule="auto"/>
        <w:rPr>
          <w:rFonts w:ascii="Arial"/>
          <w:sz w:val="21"/>
        </w:rPr>
      </w:pPr>
      <w:r/>
    </w:p>
    <w:p>
      <w:pPr>
        <w:pStyle w:val="BodyText"/>
        <w:ind w:left="207"/>
        <w:spacing w:before="65" w:line="219" w:lineRule="auto"/>
        <w:rPr/>
      </w:pPr>
      <w:r>
        <w:rPr>
          <w:b/>
          <w:bCs/>
          <w:spacing w:val="-2"/>
        </w:rPr>
        <w:t>下等级奖学金及其他类型奖学金(如单项奖学金)的，不予加分。</w:t>
      </w:r>
    </w:p>
    <w:p>
      <w:pPr>
        <w:spacing w:line="219" w:lineRule="auto"/>
        <w:sectPr>
          <w:footerReference w:type="default" r:id="rId9"/>
          <w:pgSz w:w="11900" w:h="16840"/>
          <w:pgMar w:top="1431" w:right="415" w:bottom="1912" w:left="1785" w:header="0" w:footer="1779" w:gutter="0"/>
        </w:sectPr>
        <w:rPr/>
      </w:pPr>
    </w:p>
    <w:p>
      <w:pPr>
        <w:spacing w:line="298" w:lineRule="auto"/>
        <w:rPr>
          <w:rFonts w:ascii="Arial"/>
          <w:sz w:val="21"/>
        </w:rPr>
      </w:pPr>
      <w:r/>
    </w:p>
    <w:p>
      <w:pPr>
        <w:spacing w:line="298" w:lineRule="auto"/>
        <w:rPr>
          <w:rFonts w:ascii="Arial"/>
          <w:sz w:val="21"/>
        </w:rPr>
      </w:pPr>
      <w:r/>
    </w:p>
    <w:p>
      <w:pPr>
        <w:spacing w:line="299" w:lineRule="auto"/>
        <w:rPr>
          <w:rFonts w:ascii="Arial"/>
          <w:sz w:val="21"/>
        </w:rPr>
      </w:pPr>
      <w:r/>
    </w:p>
    <w:p>
      <w:pPr>
        <w:pStyle w:val="BodyText"/>
        <w:ind w:left="525"/>
        <w:spacing w:before="65" w:line="219" w:lineRule="auto"/>
        <w:rPr/>
      </w:pPr>
      <w:r>
        <w:rPr>
          <w:spacing w:val="2"/>
        </w:rPr>
        <w:t>(2)学生参军入伍服兵役。须经学校武装部出具证明，加1分。</w:t>
      </w:r>
    </w:p>
    <w:p>
      <w:pPr>
        <w:spacing w:line="243" w:lineRule="auto"/>
        <w:rPr>
          <w:rFonts w:ascii="Arial"/>
          <w:sz w:val="21"/>
        </w:rPr>
      </w:pPr>
      <w:r/>
    </w:p>
    <w:p>
      <w:pPr>
        <w:pStyle w:val="BodyText"/>
        <w:ind w:left="527"/>
        <w:spacing w:before="65" w:line="219" w:lineRule="auto"/>
        <w:rPr/>
      </w:pPr>
      <w:r>
        <w:rPr>
          <w:b/>
          <w:bCs/>
          <w:spacing w:val="-5"/>
        </w:rPr>
        <w:t>(3)到国际组织实习。国际组织实习指的是中华人民共和国教育部、</w:t>
      </w:r>
      <w:r>
        <w:rPr>
          <w:spacing w:val="-5"/>
        </w:rPr>
        <w:t>人力资源和社会保障部所认</w:t>
      </w:r>
    </w:p>
    <w:p>
      <w:pPr>
        <w:spacing w:line="248" w:lineRule="auto"/>
        <w:rPr>
          <w:rFonts w:ascii="Arial"/>
          <w:sz w:val="21"/>
        </w:rPr>
      </w:pPr>
      <w:r/>
    </w:p>
    <w:p>
      <w:pPr>
        <w:pStyle w:val="BodyText"/>
        <w:ind w:left="394" w:right="123"/>
        <w:spacing w:before="65" w:line="512" w:lineRule="auto"/>
        <w:jc w:val="both"/>
        <w:rPr/>
      </w:pPr>
      <w:r>
        <w:rPr>
          <w:spacing w:val="-5"/>
        </w:rPr>
        <w:t>可的国际实习任务。须提供实习证明原件，经化学系鉴定(可在</w:t>
      </w:r>
      <w:r>
        <w:rPr>
          <w:spacing w:val="-6"/>
        </w:rPr>
        <w:t>实习证明复印件上加盖公章并注明</w:t>
      </w:r>
      <w:r>
        <w:rPr/>
        <w:t xml:space="preserve"> </w:t>
      </w:r>
      <w:r>
        <w:rPr>
          <w:spacing w:val="4"/>
        </w:rPr>
        <w:t>鉴定意见),根据实习期长短及实习成果评估(以国际组织实习录用函</w:t>
      </w:r>
      <w:r>
        <w:rPr>
          <w:spacing w:val="3"/>
        </w:rPr>
        <w:t>和实习证明为准),由化学</w:t>
      </w:r>
      <w:r>
        <w:rPr/>
        <w:t xml:space="preserve"> </w:t>
      </w:r>
      <w:r>
        <w:rPr>
          <w:spacing w:val="-1"/>
        </w:rPr>
        <w:t>系综合考虑实习机构、实习岗位、实习表现等分档赋分，但加分不超过0.5分。有多项国际组织</w:t>
      </w:r>
      <w:r>
        <w:rPr>
          <w:spacing w:val="3"/>
        </w:rPr>
        <w:t xml:space="preserve"> </w:t>
      </w:r>
      <w:r>
        <w:rPr>
          <w:spacing w:val="-6"/>
        </w:rPr>
        <w:t>实习经历的，就高计一次。</w:t>
      </w:r>
    </w:p>
    <w:p>
      <w:pPr>
        <w:pStyle w:val="BodyText"/>
        <w:ind w:left="394" w:right="45" w:firstLine="130"/>
        <w:spacing w:before="3" w:line="511" w:lineRule="auto"/>
        <w:jc w:val="both"/>
        <w:rPr/>
      </w:pPr>
      <w:r>
        <w:rPr>
          <w:spacing w:val="4"/>
        </w:rPr>
        <w:t>(4)科研成果加分，</w:t>
      </w:r>
      <w:r>
        <w:rPr>
          <w:b/>
          <w:bCs/>
          <w:spacing w:val="4"/>
        </w:rPr>
        <w:t>只取可获得的最高加分(即择取其最优秀的1篇代表作纳入加分),不重复</w:t>
      </w:r>
      <w:r>
        <w:rPr>
          <w:spacing w:val="7"/>
        </w:rPr>
        <w:t xml:space="preserve">  </w:t>
      </w:r>
      <w:r>
        <w:rPr>
          <w:spacing w:val="-3"/>
        </w:rPr>
        <w:t>计分，且仅限学生本科阶段在核心期刊上以独立作者或第一作者(含共同第一作者)</w:t>
      </w:r>
      <w:r>
        <w:rPr>
          <w:spacing w:val="-4"/>
        </w:rPr>
        <w:t>公开发表的与</w:t>
      </w:r>
      <w:r>
        <w:rPr/>
        <w:t xml:space="preserve">  </w:t>
      </w:r>
      <w:r>
        <w:rPr>
          <w:spacing w:val="-1"/>
        </w:rPr>
        <w:t>化学相关的科研成果(成果必须为化学相关的科研类成果，且仅限</w:t>
      </w:r>
      <w:r>
        <w:rPr>
          <w:rFonts w:ascii="Times New Roman" w:hAnsi="Times New Roman" w:eastAsia="Times New Roman" w:cs="Times New Roman"/>
          <w:spacing w:val="-1"/>
        </w:rPr>
        <w:t>SCI</w:t>
      </w:r>
      <w:r>
        <w:rPr>
          <w:rFonts w:ascii="Times New Roman" w:hAnsi="Times New Roman" w:eastAsia="Times New Roman" w:cs="Times New Roman"/>
          <w:spacing w:val="41"/>
          <w:w w:val="101"/>
        </w:rPr>
        <w:t xml:space="preserve"> </w:t>
      </w:r>
      <w:r>
        <w:rPr>
          <w:spacing w:val="-1"/>
        </w:rPr>
        <w:t>论文</w:t>
      </w:r>
      <w:r>
        <w:rPr>
          <w:spacing w:val="-2"/>
        </w:rPr>
        <w:t>)。导师为第一作者、</w:t>
      </w:r>
      <w:r>
        <w:rPr/>
        <w:t xml:space="preserve"> </w:t>
      </w:r>
      <w:r>
        <w:rPr>
          <w:spacing w:val="-3"/>
        </w:rPr>
        <w:t>学生为第二作者(而非共同一作)的，不予加分。如多名申请推免的候选人，为同一</w:t>
      </w:r>
      <w:r>
        <w:rPr>
          <w:spacing w:val="-4"/>
        </w:rPr>
        <w:t>成果的共同第</w:t>
      </w:r>
    </w:p>
    <w:p>
      <w:pPr>
        <w:pStyle w:val="BodyText"/>
        <w:ind w:left="394"/>
        <w:spacing w:before="15" w:line="219" w:lineRule="auto"/>
        <w:rPr>
          <w:sz w:val="21"/>
          <w:szCs w:val="21"/>
        </w:rPr>
      </w:pPr>
      <w:r>
        <w:rPr>
          <w:sz w:val="21"/>
          <w:szCs w:val="21"/>
          <w:spacing w:val="-13"/>
        </w:rPr>
        <w:t>一作者的，按照共同第一作者的人数，平均分配加分分值)。具体加分赋值按照下表执行。</w:t>
      </w:r>
    </w:p>
    <w:p>
      <w:pPr>
        <w:spacing w:line="147" w:lineRule="exact"/>
        <w:rPr/>
      </w:pPr>
      <w:r/>
    </w:p>
    <w:tbl>
      <w:tblPr>
        <w:tblStyle w:val="TableNormal"/>
        <w:tblW w:w="8350" w:type="dxa"/>
        <w:tblInd w:w="43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94"/>
        <w:gridCol w:w="2797"/>
        <w:gridCol w:w="1238"/>
        <w:gridCol w:w="3121"/>
      </w:tblGrid>
      <w:tr>
        <w:trPr>
          <w:trHeight w:val="553" w:hRule="atLeast"/>
        </w:trPr>
        <w:tc>
          <w:tcPr>
            <w:tcW w:w="1194" w:type="dxa"/>
            <w:vAlign w:val="top"/>
          </w:tcPr>
          <w:p>
            <w:pPr>
              <w:pStyle w:val="TableText"/>
              <w:ind w:left="55"/>
              <w:spacing w:before="173" w:line="219" w:lineRule="auto"/>
              <w:rPr/>
            </w:pPr>
            <w:r>
              <w:rPr>
                <w:spacing w:val="8"/>
              </w:rPr>
              <w:t>类别</w:t>
            </w:r>
          </w:p>
        </w:tc>
        <w:tc>
          <w:tcPr>
            <w:tcW w:w="2797" w:type="dxa"/>
            <w:vAlign w:val="top"/>
          </w:tcPr>
          <w:p>
            <w:pPr>
              <w:pStyle w:val="TableText"/>
              <w:ind w:left="71"/>
              <w:spacing w:before="173" w:line="219" w:lineRule="auto"/>
              <w:rPr/>
            </w:pPr>
            <w:r>
              <w:rPr>
                <w:spacing w:val="4"/>
              </w:rPr>
              <w:t>小类</w:t>
            </w:r>
          </w:p>
        </w:tc>
        <w:tc>
          <w:tcPr>
            <w:tcW w:w="1238" w:type="dxa"/>
            <w:vAlign w:val="top"/>
          </w:tcPr>
          <w:p>
            <w:pPr>
              <w:pStyle w:val="TableText"/>
              <w:ind w:left="64"/>
              <w:spacing w:before="174" w:line="220" w:lineRule="auto"/>
              <w:rPr/>
            </w:pPr>
            <w:r>
              <w:rPr>
                <w:spacing w:val="-3"/>
              </w:rPr>
              <w:t>加分</w:t>
            </w:r>
          </w:p>
        </w:tc>
        <w:tc>
          <w:tcPr>
            <w:tcW w:w="3121" w:type="dxa"/>
            <w:vAlign w:val="top"/>
          </w:tcPr>
          <w:p>
            <w:pPr>
              <w:pStyle w:val="TableText"/>
              <w:ind w:left="96"/>
              <w:spacing w:before="174" w:line="221" w:lineRule="auto"/>
              <w:rPr/>
            </w:pPr>
            <w:r>
              <w:rPr>
                <w:spacing w:val="5"/>
              </w:rPr>
              <w:t>备注</w:t>
            </w:r>
          </w:p>
        </w:tc>
      </w:tr>
      <w:tr>
        <w:trPr>
          <w:trHeight w:val="867" w:hRule="atLeast"/>
        </w:trPr>
        <w:tc>
          <w:tcPr>
            <w:tcW w:w="1194" w:type="dxa"/>
            <w:vAlign w:val="top"/>
            <w:vMerge w:val="restart"/>
            <w:tcBorders>
              <w:bottom w:val="nil"/>
            </w:tcBorders>
          </w:tcPr>
          <w:p>
            <w:pPr>
              <w:spacing w:line="315" w:lineRule="auto"/>
              <w:rPr>
                <w:rFonts w:ascii="Arial"/>
                <w:sz w:val="21"/>
              </w:rPr>
            </w:pPr>
            <w:r/>
          </w:p>
          <w:p>
            <w:pPr>
              <w:spacing w:line="315" w:lineRule="auto"/>
              <w:rPr>
                <w:rFonts w:ascii="Arial"/>
                <w:sz w:val="21"/>
              </w:rPr>
            </w:pPr>
            <w:r/>
          </w:p>
          <w:p>
            <w:pPr>
              <w:spacing w:line="315" w:lineRule="auto"/>
              <w:rPr>
                <w:rFonts w:ascii="Arial"/>
                <w:sz w:val="21"/>
              </w:rPr>
            </w:pPr>
            <w:r/>
          </w:p>
          <w:p>
            <w:pPr>
              <w:pStyle w:val="TableText"/>
              <w:ind w:left="55"/>
              <w:spacing w:before="68" w:line="219" w:lineRule="auto"/>
              <w:rPr/>
            </w:pPr>
            <w:r>
              <w:rPr>
                <w:spacing w:val="3"/>
              </w:rPr>
              <w:t>科研成果</w:t>
            </w:r>
          </w:p>
        </w:tc>
        <w:tc>
          <w:tcPr>
            <w:tcW w:w="2797" w:type="dxa"/>
            <w:vAlign w:val="top"/>
          </w:tcPr>
          <w:p>
            <w:pPr>
              <w:spacing w:line="261" w:lineRule="auto"/>
              <w:rPr>
                <w:rFonts w:ascii="Arial"/>
                <w:sz w:val="21"/>
              </w:rPr>
            </w:pPr>
            <w:r/>
          </w:p>
          <w:p>
            <w:pPr>
              <w:pStyle w:val="TableText"/>
              <w:ind w:left="71"/>
              <w:spacing w:before="68" w:line="220" w:lineRule="auto"/>
              <w:rPr/>
            </w:pPr>
            <w:r>
              <w:rPr/>
              <w:t>SCI</w:t>
            </w:r>
            <w:r>
              <w:rPr>
                <w:spacing w:val="1"/>
              </w:rPr>
              <w:t>论文1-2区期刊论文</w:t>
            </w:r>
          </w:p>
        </w:tc>
        <w:tc>
          <w:tcPr>
            <w:tcW w:w="1238" w:type="dxa"/>
            <w:vAlign w:val="top"/>
          </w:tcPr>
          <w:p>
            <w:pPr>
              <w:spacing w:line="281" w:lineRule="auto"/>
              <w:rPr>
                <w:rFonts w:ascii="Arial"/>
                <w:sz w:val="21"/>
              </w:rPr>
            </w:pPr>
            <w:r/>
          </w:p>
          <w:p>
            <w:pPr>
              <w:pStyle w:val="TableText"/>
              <w:ind w:left="64"/>
              <w:spacing w:before="68" w:line="241" w:lineRule="auto"/>
              <w:rPr/>
            </w:pPr>
            <w:r>
              <w:rPr/>
              <w:t>1</w:t>
            </w:r>
          </w:p>
        </w:tc>
        <w:tc>
          <w:tcPr>
            <w:tcW w:w="3121" w:type="dxa"/>
            <w:vAlign w:val="top"/>
            <w:vMerge w:val="restart"/>
            <w:tcBorders>
              <w:bottom w:val="nil"/>
            </w:tcBorders>
          </w:tcPr>
          <w:p>
            <w:pPr>
              <w:pStyle w:val="TableText"/>
              <w:ind w:left="16" w:firstLine="9"/>
              <w:spacing w:before="179" w:line="450" w:lineRule="auto"/>
              <w:jc w:val="both"/>
              <w:rPr/>
            </w:pPr>
            <w:r>
              <w:rPr>
                <w:spacing w:val="-3"/>
              </w:rPr>
              <w:t>SCI</w:t>
            </w:r>
            <w:r>
              <w:rPr>
                <w:color w:val="203040"/>
                <w:spacing w:val="-3"/>
              </w:rPr>
              <w:t>论文以最新版本的中科院分区</w:t>
            </w:r>
            <w:r>
              <w:rPr>
                <w:color w:val="203040"/>
                <w:spacing w:val="2"/>
              </w:rPr>
              <w:t xml:space="preserve"> </w:t>
            </w:r>
            <w:r>
              <w:rPr>
                <w:spacing w:val="-4"/>
              </w:rPr>
              <w:t>为准，大类和小类分区不一致的，</w:t>
            </w:r>
            <w:r>
              <w:rPr>
                <w:spacing w:val="3"/>
              </w:rPr>
              <w:t xml:space="preserve"> </w:t>
            </w:r>
            <w:r>
              <w:rPr>
                <w:spacing w:val="-8"/>
              </w:rPr>
              <w:t>就高不就低。成果需要首都师范大</w:t>
            </w:r>
            <w:r>
              <w:rPr/>
              <w:t xml:space="preserve"> </w:t>
            </w:r>
            <w:r>
              <w:rPr>
                <w:spacing w:val="1"/>
              </w:rPr>
              <w:t>学为成果第一完成单位。</w:t>
            </w:r>
          </w:p>
        </w:tc>
      </w:tr>
      <w:tr>
        <w:trPr>
          <w:trHeight w:val="1360" w:hRule="atLeast"/>
        </w:trPr>
        <w:tc>
          <w:tcPr>
            <w:tcW w:w="1194" w:type="dxa"/>
            <w:vAlign w:val="top"/>
            <w:vMerge w:val="continue"/>
            <w:tcBorders>
              <w:top w:val="nil"/>
            </w:tcBorders>
          </w:tcPr>
          <w:p>
            <w:pPr>
              <w:rPr>
                <w:rFonts w:ascii="Arial"/>
                <w:sz w:val="21"/>
              </w:rPr>
            </w:pPr>
            <w:r/>
          </w:p>
        </w:tc>
        <w:tc>
          <w:tcPr>
            <w:tcW w:w="2797" w:type="dxa"/>
            <w:vAlign w:val="top"/>
          </w:tcPr>
          <w:p>
            <w:pPr>
              <w:spacing w:line="256" w:lineRule="auto"/>
              <w:rPr>
                <w:rFonts w:ascii="Arial"/>
                <w:sz w:val="21"/>
              </w:rPr>
            </w:pPr>
            <w:r/>
          </w:p>
          <w:p>
            <w:pPr>
              <w:spacing w:line="257" w:lineRule="auto"/>
              <w:rPr>
                <w:rFonts w:ascii="Arial"/>
                <w:sz w:val="21"/>
              </w:rPr>
            </w:pPr>
            <w:r/>
          </w:p>
          <w:p>
            <w:pPr>
              <w:pStyle w:val="TableText"/>
              <w:ind w:left="71"/>
              <w:spacing w:before="68" w:line="220" w:lineRule="auto"/>
              <w:rPr/>
            </w:pPr>
            <w:r>
              <w:rPr/>
              <w:t>SCI</w:t>
            </w:r>
            <w:r>
              <w:rPr>
                <w:color w:val="102030"/>
                <w:spacing w:val="1"/>
              </w:rPr>
              <w:t>论文3-4区期刊论文</w:t>
            </w:r>
          </w:p>
        </w:tc>
        <w:tc>
          <w:tcPr>
            <w:tcW w:w="1238" w:type="dxa"/>
            <w:vAlign w:val="top"/>
          </w:tcPr>
          <w:p>
            <w:pPr>
              <w:spacing w:line="266" w:lineRule="auto"/>
              <w:rPr>
                <w:rFonts w:ascii="Arial"/>
                <w:sz w:val="21"/>
              </w:rPr>
            </w:pPr>
            <w:r/>
          </w:p>
          <w:p>
            <w:pPr>
              <w:spacing w:line="266" w:lineRule="auto"/>
              <w:rPr>
                <w:rFonts w:ascii="Arial"/>
                <w:sz w:val="21"/>
              </w:rPr>
            </w:pPr>
            <w:r/>
          </w:p>
          <w:p>
            <w:pPr>
              <w:pStyle w:val="TableText"/>
              <w:ind w:left="64"/>
              <w:spacing w:before="69" w:line="239" w:lineRule="auto"/>
              <w:rPr/>
            </w:pPr>
            <w:r>
              <w:rPr>
                <w:spacing w:val="-3"/>
              </w:rPr>
              <w:t>0.5</w:t>
            </w:r>
          </w:p>
        </w:tc>
        <w:tc>
          <w:tcPr>
            <w:tcW w:w="3121" w:type="dxa"/>
            <w:vAlign w:val="top"/>
            <w:vMerge w:val="continue"/>
            <w:tcBorders>
              <w:top w:val="nil"/>
            </w:tcBorders>
          </w:tcPr>
          <w:p>
            <w:pPr>
              <w:rPr>
                <w:rFonts w:ascii="Arial"/>
                <w:sz w:val="21"/>
              </w:rPr>
            </w:pPr>
            <w:r/>
          </w:p>
        </w:tc>
      </w:tr>
    </w:tbl>
    <w:p>
      <w:pPr>
        <w:spacing w:line="319" w:lineRule="auto"/>
        <w:rPr>
          <w:rFonts w:ascii="Arial"/>
          <w:sz w:val="21"/>
        </w:rPr>
      </w:pPr>
      <w:r/>
    </w:p>
    <w:p>
      <w:pPr>
        <w:spacing w:line="320" w:lineRule="auto"/>
        <w:rPr>
          <w:rFonts w:ascii="Arial"/>
          <w:sz w:val="21"/>
        </w:rPr>
      </w:pPr>
      <w:r/>
    </w:p>
    <w:p>
      <w:pPr>
        <w:pStyle w:val="BodyText"/>
        <w:ind w:left="394" w:right="104" w:firstLine="130"/>
        <w:spacing w:before="68" w:line="445" w:lineRule="auto"/>
        <w:jc w:val="both"/>
        <w:rPr>
          <w:sz w:val="21"/>
          <w:szCs w:val="21"/>
        </w:rPr>
      </w:pPr>
      <w:r>
        <w:rPr>
          <w:sz w:val="21"/>
          <w:szCs w:val="21"/>
          <w:spacing w:val="-15"/>
        </w:rPr>
        <w:t>(5)竞赛获奖。仅指作为主力成员参加与化学相关的国内权威科研竞赛并获得三等奖以上奖励(不</w:t>
      </w:r>
      <w:r>
        <w:rPr>
          <w:sz w:val="21"/>
          <w:szCs w:val="21"/>
        </w:rPr>
        <w:t xml:space="preserve"> </w:t>
      </w:r>
      <w:r>
        <w:rPr>
          <w:sz w:val="21"/>
          <w:szCs w:val="21"/>
          <w:b/>
          <w:bCs/>
          <w:spacing w:val="-17"/>
        </w:rPr>
        <w:t>包含三等奖，</w:t>
      </w:r>
      <w:r>
        <w:rPr>
          <w:sz w:val="21"/>
          <w:szCs w:val="21"/>
          <w:spacing w:val="-17"/>
        </w:rPr>
        <w:t>国际赛事参照执行，但不得低于</w:t>
      </w:r>
      <w:r>
        <w:rPr>
          <w:sz w:val="21"/>
          <w:szCs w:val="21"/>
          <w:spacing w:val="-18"/>
        </w:rPr>
        <w:t>国内赛事相关要求，且需要首都师范大学为成果第一</w:t>
      </w:r>
      <w:r>
        <w:rPr>
          <w:sz w:val="21"/>
          <w:szCs w:val="21"/>
        </w:rPr>
        <w:t xml:space="preserve"> </w:t>
      </w:r>
      <w:r>
        <w:rPr>
          <w:sz w:val="21"/>
          <w:szCs w:val="21"/>
          <w:spacing w:val="-2"/>
        </w:rPr>
        <w:t>完成单位)</w:t>
      </w:r>
      <w:r>
        <w:rPr>
          <w:sz w:val="21"/>
          <w:szCs w:val="21"/>
          <w:color w:val="102040"/>
          <w:spacing w:val="-2"/>
        </w:rPr>
        <w:t>。</w:t>
      </w:r>
    </w:p>
    <w:tbl>
      <w:tblPr>
        <w:tblStyle w:val="TableNormal"/>
        <w:tblW w:w="8459" w:type="dxa"/>
        <w:tblInd w:w="314"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103"/>
        <w:gridCol w:w="1498"/>
        <w:gridCol w:w="1009"/>
        <w:gridCol w:w="4849"/>
      </w:tblGrid>
      <w:tr>
        <w:trPr>
          <w:trHeight w:val="560" w:hRule="atLeast"/>
        </w:trPr>
        <w:tc>
          <w:tcPr>
            <w:tcW w:w="1103" w:type="dxa"/>
            <w:vAlign w:val="top"/>
          </w:tcPr>
          <w:p>
            <w:pPr>
              <w:pStyle w:val="TableText"/>
              <w:ind w:left="84"/>
              <w:spacing w:before="183" w:line="219" w:lineRule="auto"/>
              <w:rPr>
                <w:sz w:val="20"/>
                <w:szCs w:val="20"/>
              </w:rPr>
            </w:pPr>
            <w:r>
              <w:rPr>
                <w:sz w:val="20"/>
                <w:szCs w:val="20"/>
                <w:spacing w:val="8"/>
              </w:rPr>
              <w:t>类别</w:t>
            </w:r>
          </w:p>
        </w:tc>
        <w:tc>
          <w:tcPr>
            <w:tcW w:w="1498" w:type="dxa"/>
            <w:vAlign w:val="top"/>
          </w:tcPr>
          <w:p>
            <w:pPr>
              <w:pStyle w:val="TableText"/>
              <w:ind w:left="72"/>
              <w:spacing w:before="183" w:line="219" w:lineRule="auto"/>
              <w:rPr>
                <w:sz w:val="20"/>
                <w:szCs w:val="20"/>
              </w:rPr>
            </w:pPr>
            <w:r>
              <w:rPr>
                <w:sz w:val="20"/>
                <w:szCs w:val="20"/>
                <w:spacing w:val="4"/>
              </w:rPr>
              <w:t>小类</w:t>
            </w:r>
          </w:p>
        </w:tc>
        <w:tc>
          <w:tcPr>
            <w:tcW w:w="1009" w:type="dxa"/>
            <w:vAlign w:val="top"/>
          </w:tcPr>
          <w:p>
            <w:pPr>
              <w:pStyle w:val="TableText"/>
              <w:ind w:left="64"/>
              <w:spacing w:before="183" w:line="220" w:lineRule="auto"/>
              <w:rPr>
                <w:sz w:val="20"/>
                <w:szCs w:val="20"/>
              </w:rPr>
            </w:pPr>
            <w:r>
              <w:rPr>
                <w:sz w:val="20"/>
                <w:szCs w:val="20"/>
                <w:spacing w:val="-2"/>
              </w:rPr>
              <w:t>加分</w:t>
            </w:r>
          </w:p>
        </w:tc>
        <w:tc>
          <w:tcPr>
            <w:tcW w:w="4849" w:type="dxa"/>
            <w:vAlign w:val="top"/>
          </w:tcPr>
          <w:p>
            <w:pPr>
              <w:pStyle w:val="TableText"/>
              <w:ind w:left="2215"/>
              <w:spacing w:before="184" w:line="221" w:lineRule="auto"/>
              <w:rPr>
                <w:sz w:val="20"/>
                <w:szCs w:val="20"/>
              </w:rPr>
            </w:pPr>
            <w:r>
              <w:rPr>
                <w:sz w:val="20"/>
                <w:szCs w:val="20"/>
                <w:spacing w:val="5"/>
              </w:rPr>
              <w:t>备注</w:t>
            </w:r>
          </w:p>
        </w:tc>
      </w:tr>
      <w:tr>
        <w:trPr>
          <w:trHeight w:val="550" w:hRule="atLeast"/>
        </w:trPr>
        <w:tc>
          <w:tcPr>
            <w:tcW w:w="1103" w:type="dxa"/>
            <w:vAlign w:val="top"/>
          </w:tcPr>
          <w:p>
            <w:pPr>
              <w:pStyle w:val="TableText"/>
              <w:ind w:left="84"/>
              <w:spacing w:before="183" w:line="219" w:lineRule="auto"/>
              <w:rPr>
                <w:sz w:val="20"/>
                <w:szCs w:val="20"/>
              </w:rPr>
            </w:pPr>
            <w:r>
              <w:rPr>
                <w:sz w:val="20"/>
                <w:szCs w:val="20"/>
                <w:spacing w:val="-2"/>
              </w:rPr>
              <w:t>竞赛获奖</w:t>
            </w:r>
          </w:p>
        </w:tc>
        <w:tc>
          <w:tcPr>
            <w:tcW w:w="1498" w:type="dxa"/>
            <w:vAlign w:val="top"/>
          </w:tcPr>
          <w:p>
            <w:pPr>
              <w:pStyle w:val="TableText"/>
              <w:ind w:left="72"/>
              <w:spacing w:before="183" w:line="219" w:lineRule="auto"/>
              <w:rPr>
                <w:sz w:val="20"/>
                <w:szCs w:val="20"/>
              </w:rPr>
            </w:pPr>
            <w:r>
              <w:rPr>
                <w:sz w:val="20"/>
                <w:szCs w:val="20"/>
                <w:spacing w:val="-2"/>
              </w:rPr>
              <w:t>全国赛一等奖</w:t>
            </w:r>
          </w:p>
        </w:tc>
        <w:tc>
          <w:tcPr>
            <w:tcW w:w="1009" w:type="dxa"/>
            <w:vAlign w:val="top"/>
          </w:tcPr>
          <w:p>
            <w:pPr>
              <w:pStyle w:val="TableText"/>
              <w:ind w:left="64"/>
              <w:spacing w:before="203" w:line="241" w:lineRule="auto"/>
              <w:rPr>
                <w:sz w:val="20"/>
                <w:szCs w:val="20"/>
              </w:rPr>
            </w:pPr>
            <w:r>
              <w:rPr>
                <w:sz w:val="20"/>
                <w:szCs w:val="20"/>
              </w:rPr>
              <w:t>1</w:t>
            </w:r>
          </w:p>
        </w:tc>
        <w:tc>
          <w:tcPr>
            <w:tcW w:w="4849" w:type="dxa"/>
            <w:vAlign w:val="top"/>
          </w:tcPr>
          <w:p>
            <w:pPr>
              <w:pStyle w:val="TableText"/>
              <w:ind w:left="674"/>
              <w:spacing w:before="182" w:line="219" w:lineRule="auto"/>
              <w:rPr>
                <w:sz w:val="20"/>
                <w:szCs w:val="20"/>
              </w:rPr>
            </w:pPr>
            <w:r>
              <w:rPr>
                <w:sz w:val="20"/>
                <w:szCs w:val="20"/>
              </w:rPr>
              <w:t>(1)竞赛需要为化学学科相关的科研类竞赛，且</w:t>
            </w:r>
          </w:p>
        </w:tc>
      </w:tr>
    </w:tbl>
    <w:p>
      <w:pPr>
        <w:rPr>
          <w:rFonts w:ascii="Arial"/>
          <w:sz w:val="21"/>
        </w:rPr>
      </w:pPr>
      <w:r/>
    </w:p>
    <w:p>
      <w:pPr>
        <w:sectPr>
          <w:footerReference w:type="default" r:id="rId11"/>
          <w:pgSz w:w="11900" w:h="16840"/>
          <w:pgMar w:top="1431" w:right="1324" w:bottom="1904" w:left="1785" w:header="0" w:footer="1769" w:gutter="0"/>
        </w:sectPr>
        <w:rPr>
          <w:rFonts w:ascii="Arial" w:hAnsi="Arial" w:eastAsia="Arial" w:cs="Arial"/>
          <w:sz w:val="21"/>
          <w:szCs w:val="21"/>
        </w:rPr>
      </w:pPr>
    </w:p>
    <w:p>
      <w:pPr>
        <w:spacing w:before="30"/>
        <w:rPr/>
      </w:pPr>
      <w:r/>
    </w:p>
    <w:p>
      <w:pPr>
        <w:spacing w:before="30"/>
        <w:rPr/>
      </w:pPr>
      <w:r/>
    </w:p>
    <w:p>
      <w:pPr>
        <w:spacing w:before="29"/>
        <w:rPr/>
      </w:pPr>
      <w:r/>
    </w:p>
    <w:tbl>
      <w:tblPr>
        <w:tblStyle w:val="TableNormal"/>
        <w:tblW w:w="8441" w:type="dxa"/>
        <w:tblInd w:w="1740" w:type="dxa"/>
        <w:tblLayout w:type="fixed"/>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Grid>
        <w:gridCol w:w="1093"/>
        <w:gridCol w:w="1498"/>
        <w:gridCol w:w="999"/>
        <w:gridCol w:w="4851"/>
      </w:tblGrid>
      <w:tr>
        <w:trPr>
          <w:trHeight w:val="8350" w:hRule="atLeast"/>
        </w:trPr>
        <w:tc>
          <w:tcPr>
            <w:tcW w:w="1093" w:type="dxa"/>
            <w:vAlign w:val="top"/>
          </w:tcPr>
          <w:p>
            <w:pPr>
              <w:rPr>
                <w:rFonts w:ascii="Arial"/>
                <w:sz w:val="21"/>
              </w:rPr>
            </w:pPr>
            <w:r/>
          </w:p>
        </w:tc>
        <w:tc>
          <w:tcPr>
            <w:tcW w:w="1498" w:type="dxa"/>
            <w:vAlign w:val="top"/>
          </w:tcPr>
          <w:p>
            <w:pPr>
              <w:spacing w:line="248" w:lineRule="auto"/>
              <w:rPr>
                <w:rFonts w:ascii="Arial"/>
                <w:sz w:val="21"/>
              </w:rPr>
            </w:pPr>
            <w:r/>
          </w:p>
          <w:p>
            <w:pPr>
              <w:spacing w:line="248" w:lineRule="auto"/>
              <w:rPr>
                <w:rFonts w:ascii="Arial"/>
                <w:sz w:val="21"/>
              </w:rPr>
            </w:pPr>
            <w:r/>
          </w:p>
          <w:p>
            <w:pPr>
              <w:spacing w:line="248"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spacing w:line="249" w:lineRule="auto"/>
              <w:rPr>
                <w:rFonts w:ascii="Arial"/>
                <w:sz w:val="21"/>
              </w:rPr>
            </w:pPr>
            <w:r/>
          </w:p>
          <w:p>
            <w:pPr>
              <w:pStyle w:val="TableText"/>
              <w:ind w:left="82"/>
              <w:spacing w:before="68" w:line="219" w:lineRule="auto"/>
              <w:rPr/>
            </w:pPr>
            <w:r>
              <w:rPr>
                <w:spacing w:val="-2"/>
              </w:rPr>
              <w:t>全国赛二等奖</w:t>
            </w:r>
          </w:p>
        </w:tc>
        <w:tc>
          <w:tcPr>
            <w:tcW w:w="999" w:type="dxa"/>
            <w:vAlign w:val="top"/>
          </w:tcPr>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0" w:lineRule="auto"/>
              <w:rPr>
                <w:rFonts w:ascii="Arial"/>
                <w:sz w:val="21"/>
              </w:rPr>
            </w:pPr>
            <w:r/>
          </w:p>
          <w:p>
            <w:pPr>
              <w:spacing w:line="251" w:lineRule="auto"/>
              <w:rPr>
                <w:rFonts w:ascii="Arial"/>
                <w:sz w:val="21"/>
              </w:rPr>
            </w:pPr>
            <w:r/>
          </w:p>
          <w:p>
            <w:pPr>
              <w:pStyle w:val="TableText"/>
              <w:ind w:left="83"/>
              <w:spacing w:before="68" w:line="239" w:lineRule="auto"/>
              <w:rPr/>
            </w:pPr>
            <w:r>
              <w:rPr>
                <w:spacing w:val="-3"/>
              </w:rPr>
              <w:t>0.5</w:t>
            </w:r>
          </w:p>
        </w:tc>
        <w:tc>
          <w:tcPr>
            <w:tcW w:w="4851" w:type="dxa"/>
            <w:vAlign w:val="top"/>
          </w:tcPr>
          <w:p>
            <w:pPr>
              <w:pStyle w:val="TableText"/>
              <w:spacing w:before="173" w:line="219" w:lineRule="auto"/>
              <w:jc w:val="right"/>
              <w:rPr/>
            </w:pPr>
            <w:r>
              <w:rPr>
                <w:spacing w:val="-11"/>
              </w:rPr>
              <w:t>为全国类竞赛，且需要纳入中国高等教育学</w:t>
            </w:r>
          </w:p>
          <w:p>
            <w:pPr>
              <w:pStyle w:val="TableText"/>
              <w:ind w:left="994"/>
              <w:spacing w:before="299" w:line="219" w:lineRule="auto"/>
              <w:rPr/>
            </w:pPr>
            <w:r>
              <w:rPr>
                <w:spacing w:val="-1"/>
              </w:rPr>
              <w:t>会发布的《2024全国普通高校大学生竞赛</w:t>
            </w:r>
          </w:p>
          <w:p>
            <w:pPr>
              <w:spacing w:line="250" w:lineRule="auto"/>
              <w:rPr>
                <w:rFonts w:ascii="Arial"/>
                <w:sz w:val="21"/>
              </w:rPr>
            </w:pPr>
            <w:r/>
          </w:p>
          <w:p>
            <w:pPr>
              <w:pStyle w:val="TableText"/>
              <w:ind w:left="1035"/>
              <w:spacing w:before="68" w:line="218" w:lineRule="auto"/>
              <w:rPr/>
            </w:pPr>
            <w:r>
              <w:rPr>
                <w:spacing w:val="-1"/>
              </w:rPr>
              <w:t>分析报告》竞赛目录。</w:t>
            </w:r>
          </w:p>
          <w:p>
            <w:pPr>
              <w:pStyle w:val="TableText"/>
              <w:ind w:left="574"/>
              <w:spacing w:before="294" w:line="219" w:lineRule="auto"/>
              <w:rPr/>
            </w:pPr>
            <w:r>
              <w:rPr/>
              <w:t>(2)竞赛设奖有高于一等奖的(如竞赛设定了特</w:t>
            </w:r>
          </w:p>
          <w:p>
            <w:pPr>
              <w:pStyle w:val="TableText"/>
              <w:ind w:left="994"/>
              <w:spacing w:before="307" w:line="216" w:lineRule="auto"/>
              <w:rPr/>
            </w:pPr>
            <w:r>
              <w:rPr>
                <w:color w:val="203040"/>
                <w:spacing w:val="-6"/>
              </w:rPr>
              <w:t>等奖),则按照特等、 一等和二等，</w:t>
            </w:r>
            <w:r>
              <w:rPr>
                <w:color w:val="102040"/>
                <w:spacing w:val="-6"/>
              </w:rPr>
              <w:t>分别给</w:t>
            </w:r>
          </w:p>
          <w:p>
            <w:pPr>
              <w:pStyle w:val="TableText"/>
              <w:ind w:left="1055"/>
              <w:spacing w:before="308" w:line="220" w:lineRule="auto"/>
              <w:rPr/>
            </w:pPr>
            <w:r>
              <w:rPr/>
              <w:t>予1、0.5、0.1分加分。</w:t>
            </w:r>
          </w:p>
          <w:p>
            <w:pPr>
              <w:spacing w:line="249" w:lineRule="auto"/>
              <w:rPr>
                <w:rFonts w:ascii="Arial"/>
                <w:sz w:val="21"/>
              </w:rPr>
            </w:pPr>
            <w:r/>
          </w:p>
          <w:p>
            <w:pPr>
              <w:pStyle w:val="TableText"/>
              <w:spacing w:before="69" w:line="219" w:lineRule="auto"/>
              <w:jc w:val="right"/>
              <w:rPr/>
            </w:pPr>
            <w:r>
              <w:rPr>
                <w:spacing w:val="-9"/>
              </w:rPr>
              <w:t>(3)如多名申请推免的候选人，</w:t>
            </w:r>
            <w:r>
              <w:rPr>
                <w:color w:val="304050"/>
                <w:spacing w:val="-9"/>
              </w:rPr>
              <w:t>获得同一奖项的，</w:t>
            </w:r>
          </w:p>
          <w:p>
            <w:pPr>
              <w:pStyle w:val="TableText"/>
              <w:spacing w:before="309" w:line="219" w:lineRule="auto"/>
              <w:jc w:val="right"/>
              <w:rPr/>
            </w:pPr>
            <w:r>
              <w:rPr>
                <w:color w:val="203040"/>
                <w:spacing w:val="-10"/>
              </w:rPr>
              <w:t>则参照获奖证书的排序，按照贡献值进行加</w:t>
            </w:r>
          </w:p>
          <w:p>
            <w:pPr>
              <w:spacing w:line="241" w:lineRule="auto"/>
              <w:rPr>
                <w:rFonts w:ascii="Arial"/>
                <w:sz w:val="21"/>
              </w:rPr>
            </w:pPr>
            <w:r/>
          </w:p>
          <w:p>
            <w:pPr>
              <w:pStyle w:val="TableText"/>
              <w:spacing w:before="69" w:line="219" w:lineRule="auto"/>
              <w:jc w:val="right"/>
              <w:rPr/>
            </w:pPr>
            <w:r>
              <w:rPr>
                <w:spacing w:val="-5"/>
              </w:rPr>
              <w:t>分。团队为2人的，则按照贡献程度，依次</w:t>
            </w:r>
          </w:p>
          <w:p>
            <w:pPr>
              <w:pStyle w:val="TableText"/>
              <w:spacing w:before="302" w:line="219" w:lineRule="auto"/>
              <w:jc w:val="right"/>
              <w:rPr/>
            </w:pPr>
            <w:r>
              <w:rPr>
                <w:spacing w:val="-2"/>
              </w:rPr>
              <w:t>按照该项奖项加分的60%和40%分档赋分。</w:t>
            </w:r>
          </w:p>
          <w:p>
            <w:pPr>
              <w:pStyle w:val="TableText"/>
              <w:spacing w:before="310" w:line="219" w:lineRule="auto"/>
              <w:jc w:val="right"/>
              <w:rPr/>
            </w:pPr>
            <w:r>
              <w:rPr>
                <w:spacing w:val="-6"/>
              </w:rPr>
              <w:t>团队为3人的，则按照贡献程度，依次按照</w:t>
            </w:r>
          </w:p>
          <w:p>
            <w:pPr>
              <w:spacing w:line="242" w:lineRule="auto"/>
              <w:rPr>
                <w:rFonts w:ascii="Arial"/>
                <w:sz w:val="21"/>
              </w:rPr>
            </w:pPr>
            <w:r/>
          </w:p>
          <w:p>
            <w:pPr>
              <w:pStyle w:val="TableText"/>
              <w:ind w:left="1025"/>
              <w:spacing w:before="68" w:line="219" w:lineRule="auto"/>
              <w:rPr/>
            </w:pPr>
            <w:r>
              <w:rPr>
                <w:spacing w:val="-1"/>
              </w:rPr>
              <w:t>该项奖项加分的50%、30%、20%分档赋</w:t>
            </w:r>
          </w:p>
          <w:p>
            <w:pPr>
              <w:spacing w:line="241" w:lineRule="auto"/>
              <w:rPr>
                <w:rFonts w:ascii="Arial"/>
                <w:sz w:val="21"/>
              </w:rPr>
            </w:pPr>
            <w:r/>
          </w:p>
          <w:p>
            <w:pPr>
              <w:pStyle w:val="TableText"/>
              <w:ind w:left="994"/>
              <w:spacing w:before="69" w:line="220" w:lineRule="auto"/>
              <w:rPr/>
            </w:pPr>
            <w:r>
              <w:rPr/>
              <w:t>分。团队为4人或4人以上的，前两位分别</w:t>
            </w:r>
          </w:p>
          <w:p>
            <w:pPr>
              <w:pStyle w:val="TableText"/>
              <w:ind w:left="1035"/>
              <w:spacing w:before="310" w:line="219" w:lineRule="auto"/>
              <w:rPr/>
            </w:pPr>
            <w:r>
              <w:rPr/>
              <w:t>按照40%和30%赋分，剩余的所有成果完</w:t>
            </w:r>
          </w:p>
          <w:p>
            <w:pPr>
              <w:spacing w:line="241" w:lineRule="auto"/>
              <w:rPr>
                <w:rFonts w:ascii="Arial"/>
                <w:sz w:val="21"/>
              </w:rPr>
            </w:pPr>
            <w:r/>
          </w:p>
          <w:p>
            <w:pPr>
              <w:pStyle w:val="TableText"/>
              <w:ind w:left="1055"/>
              <w:spacing w:before="68" w:line="220" w:lineRule="auto"/>
              <w:rPr/>
            </w:pPr>
            <w:r>
              <w:rPr>
                <w:spacing w:val="-1"/>
              </w:rPr>
              <w:t>成人，平分30%进行赋分。</w:t>
            </w:r>
          </w:p>
        </w:tc>
      </w:tr>
    </w:tbl>
    <w:p>
      <w:pPr>
        <w:spacing w:line="335" w:lineRule="auto"/>
        <w:rPr>
          <w:rFonts w:ascii="Arial"/>
          <w:sz w:val="21"/>
        </w:rPr>
      </w:pPr>
      <w:r/>
    </w:p>
    <w:p>
      <w:pPr>
        <w:spacing w:line="336" w:lineRule="auto"/>
        <w:rPr>
          <w:rFonts w:ascii="Arial"/>
          <w:sz w:val="21"/>
        </w:rPr>
      </w:pPr>
      <w:r>
        <w:drawing>
          <wp:anchor distT="0" distB="0" distL="0" distR="0" simplePos="0" relativeHeight="251671552" behindDoc="0" locked="0" layoutInCell="1" allowOverlap="1">
            <wp:simplePos x="0" y="0"/>
            <wp:positionH relativeFrom="column">
              <wp:posOffset>7023087</wp:posOffset>
            </wp:positionH>
            <wp:positionV relativeFrom="paragraph">
              <wp:posOffset>202092</wp:posOffset>
            </wp:positionV>
            <wp:extent cx="133371" cy="965186"/>
            <wp:effectExtent l="0" t="0" r="0" b="0"/>
            <wp:wrapNone/>
            <wp:docPr id="12" name="IM 12"/>
            <wp:cNvGraphicFramePr/>
            <a:graphic>
              <a:graphicData uri="http://schemas.openxmlformats.org/drawingml/2006/picture">
                <pic:pic>
                  <pic:nvPicPr>
                    <pic:cNvPr id="12" name="IM 12"/>
                    <pic:cNvPicPr/>
                  </pic:nvPicPr>
                  <pic:blipFill>
                    <a:blip r:embed="rId13"/>
                    <a:stretch>
                      <a:fillRect/>
                    </a:stretch>
                  </pic:blipFill>
                  <pic:spPr>
                    <a:xfrm rot="0">
                      <a:off x="0" y="0"/>
                      <a:ext cx="133371" cy="965186"/>
                    </a:xfrm>
                    <a:prstGeom prst="rect">
                      <a:avLst/>
                    </a:prstGeom>
                  </pic:spPr>
                </pic:pic>
              </a:graphicData>
            </a:graphic>
          </wp:anchor>
        </w:drawing>
      </w:r>
      <w:r/>
    </w:p>
    <w:p>
      <w:pPr>
        <w:pStyle w:val="BodyText"/>
        <w:ind w:left="1809"/>
        <w:spacing w:before="65" w:line="219" w:lineRule="auto"/>
        <w:rPr/>
      </w:pPr>
      <w:r>
        <w:rPr>
          <w:spacing w:val="-4"/>
        </w:rPr>
        <w:t>2.</w:t>
      </w:r>
      <w:r>
        <w:rPr>
          <w:spacing w:val="-29"/>
        </w:rPr>
        <w:t xml:space="preserve"> </w:t>
      </w:r>
      <w:r>
        <w:rPr>
          <w:b/>
          <w:bCs/>
          <w:spacing w:val="-4"/>
        </w:rPr>
        <w:t>推免生资格的确定办法</w:t>
      </w:r>
    </w:p>
    <w:p>
      <w:pPr>
        <w:spacing w:line="245" w:lineRule="auto"/>
        <w:rPr>
          <w:rFonts w:ascii="Arial"/>
          <w:sz w:val="21"/>
        </w:rPr>
      </w:pPr>
      <w:r/>
    </w:p>
    <w:p>
      <w:pPr>
        <w:pStyle w:val="BodyText"/>
        <w:ind w:left="1812" w:right="1177" w:firstLine="410"/>
        <w:spacing w:before="65" w:line="512" w:lineRule="auto"/>
        <w:jc w:val="both"/>
        <w:rPr/>
      </w:pPr>
      <w:r>
        <w:rPr>
          <w:b/>
          <w:bCs/>
          <w:spacing w:val="-3"/>
        </w:rPr>
        <w:t>对师范生、本部培养应化生、双培生三类学生候选人，首先根据分类评价下的相关名额(见</w:t>
      </w:r>
      <w:r>
        <w:rPr/>
        <w:t xml:space="preserve"> </w:t>
      </w:r>
      <w:r>
        <w:rPr>
          <w:b/>
          <w:bCs/>
          <w:spacing w:val="-5"/>
        </w:rPr>
        <w:t>本文件中的名额分配部分),分类按照总评成绩排序，择优推荐。此外，剩余的涉及到跨类评价的</w:t>
      </w:r>
      <w:r>
        <w:rPr>
          <w:spacing w:val="3"/>
        </w:rPr>
        <w:t xml:space="preserve"> </w:t>
      </w:r>
      <w:r>
        <w:rPr>
          <w:b/>
          <w:bCs/>
          <w:spacing w:val="-10"/>
        </w:rPr>
        <w:t>名额，按照综合评价成绩，统筹择优推荐。出现有争议情况，由化学系推免生遴选工作小组在充分</w:t>
      </w:r>
      <w:r>
        <w:rPr>
          <w:spacing w:val="11"/>
        </w:rPr>
        <w:t xml:space="preserve"> </w:t>
      </w:r>
      <w:r>
        <w:rPr>
          <w:b/>
          <w:bCs/>
          <w:spacing w:val="-8"/>
        </w:rPr>
        <w:t>评议基础上投票，得票多者入选，并报首都师范大学推免生遴选工作领导小组</w:t>
      </w:r>
      <w:r>
        <w:rPr>
          <w:b/>
          <w:bCs/>
          <w:spacing w:val="-9"/>
        </w:rPr>
        <w:t>批准。</w:t>
      </w:r>
    </w:p>
    <w:p>
      <w:pPr>
        <w:pStyle w:val="BodyText"/>
        <w:ind w:left="2222"/>
        <w:spacing w:before="20" w:line="219" w:lineRule="auto"/>
        <w:rPr/>
      </w:pPr>
      <w:r>
        <w:rPr>
          <w:b/>
          <w:bCs/>
          <w:spacing w:val="-5"/>
        </w:rPr>
        <w:t>学生根据总评成绩排序并结合学生志愿，确定推免生名单。</w:t>
      </w:r>
      <w:r>
        <w:rPr>
          <w:b/>
          <w:bCs/>
          <w:spacing w:val="-6"/>
        </w:rPr>
        <w:t>总评成绩排队在前者，优先考虑</w:t>
      </w:r>
    </w:p>
    <w:p>
      <w:pPr>
        <w:spacing w:line="259" w:lineRule="auto"/>
        <w:rPr>
          <w:rFonts w:ascii="Arial"/>
          <w:sz w:val="21"/>
        </w:rPr>
      </w:pPr>
      <w:r/>
    </w:p>
    <w:p>
      <w:pPr>
        <w:spacing w:line="260" w:lineRule="auto"/>
        <w:rPr>
          <w:rFonts w:ascii="Arial"/>
          <w:sz w:val="21"/>
        </w:rPr>
      </w:pPr>
      <w:r/>
    </w:p>
    <w:p>
      <w:pPr>
        <w:ind w:left="5900"/>
        <w:spacing w:before="44" w:line="185"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7</w:t>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line="255" w:lineRule="auto"/>
        <w:rPr>
          <w:rFonts w:ascii="Arial"/>
          <w:sz w:val="21"/>
        </w:rPr>
      </w:pPr>
      <w:r/>
    </w:p>
    <w:p>
      <w:pPr>
        <w:spacing w:before="61" w:line="137" w:lineRule="exact"/>
        <w:rPr>
          <w:rFonts w:ascii="SimHei" w:hAnsi="SimHei" w:eastAsia="SimHei" w:cs="SimHei"/>
          <w:sz w:val="19"/>
          <w:szCs w:val="19"/>
        </w:rPr>
      </w:pPr>
      <w:r>
        <w:rPr>
          <w:rFonts w:ascii="SimHei" w:hAnsi="SimHei" w:eastAsia="SimHei" w:cs="SimHei"/>
          <w:sz w:val="19"/>
          <w:szCs w:val="19"/>
          <w:position w:val="-3"/>
        </w:rPr>
        <w:t>一</w:t>
      </w:r>
    </w:p>
    <w:p>
      <w:pPr>
        <w:spacing w:line="137" w:lineRule="exact"/>
        <w:sectPr>
          <w:footerReference w:type="default" r:id="rId12"/>
          <w:pgSz w:w="11900" w:h="16840"/>
          <w:pgMar w:top="1431" w:right="280" w:bottom="400" w:left="349" w:header="0" w:footer="0" w:gutter="0"/>
        </w:sectPr>
        <w:rPr>
          <w:rFonts w:ascii="SimHei" w:hAnsi="SimHei" w:eastAsia="SimHei" w:cs="SimHei"/>
          <w:sz w:val="19"/>
          <w:szCs w:val="19"/>
        </w:rPr>
      </w:pPr>
    </w:p>
    <w:p>
      <w:pPr>
        <w:spacing w:line="288" w:lineRule="auto"/>
        <w:rPr>
          <w:rFonts w:ascii="Arial"/>
          <w:sz w:val="21"/>
        </w:rPr>
      </w:pPr>
      <w:r/>
    </w:p>
    <w:p>
      <w:pPr>
        <w:spacing w:line="289" w:lineRule="auto"/>
        <w:rPr>
          <w:rFonts w:ascii="Arial"/>
          <w:sz w:val="21"/>
        </w:rPr>
      </w:pPr>
      <w:r/>
    </w:p>
    <w:p>
      <w:pPr>
        <w:spacing w:line="289" w:lineRule="auto"/>
        <w:rPr>
          <w:rFonts w:ascii="Arial"/>
          <w:sz w:val="21"/>
        </w:rPr>
      </w:pPr>
      <w:r/>
    </w:p>
    <w:p>
      <w:pPr>
        <w:pStyle w:val="BodyText"/>
        <w:ind w:left="384"/>
        <w:spacing w:before="65" w:line="219" w:lineRule="auto"/>
        <w:rPr/>
      </w:pPr>
      <w:r>
        <w:rPr>
          <w:spacing w:val="-8"/>
        </w:rPr>
        <w:t>其第一志愿，第一志愿名额用完后看其后续次选志愿。最</w:t>
      </w:r>
      <w:r>
        <w:rPr>
          <w:spacing w:val="-9"/>
        </w:rPr>
        <w:t>终学生只能选择在一个项目类别下填写官</w:t>
      </w:r>
    </w:p>
    <w:p>
      <w:pPr>
        <w:spacing w:line="285" w:lineRule="auto"/>
        <w:rPr>
          <w:rFonts w:ascii="Arial"/>
          <w:sz w:val="21"/>
        </w:rPr>
      </w:pPr>
      <w:r/>
    </w:p>
    <w:p>
      <w:pPr>
        <w:pStyle w:val="BodyText"/>
        <w:ind w:left="384"/>
        <w:spacing w:before="65" w:line="219" w:lineRule="auto"/>
        <w:rPr/>
      </w:pPr>
      <w:r>
        <w:rPr>
          <w:spacing w:val="-12"/>
        </w:rPr>
        <w:t>方推免系统进行报名。</w:t>
      </w:r>
    </w:p>
    <w:p>
      <w:pPr>
        <w:spacing w:line="251" w:lineRule="auto"/>
        <w:rPr>
          <w:rFonts w:ascii="Arial"/>
          <w:sz w:val="21"/>
        </w:rPr>
      </w:pPr>
      <w:r/>
    </w:p>
    <w:p>
      <w:pPr>
        <w:spacing w:line="251" w:lineRule="auto"/>
        <w:rPr>
          <w:rFonts w:ascii="Arial"/>
          <w:sz w:val="21"/>
        </w:rPr>
      </w:pPr>
      <w:r/>
    </w:p>
    <w:p>
      <w:pPr>
        <w:spacing w:line="252" w:lineRule="auto"/>
        <w:rPr>
          <w:rFonts w:ascii="Arial"/>
          <w:sz w:val="21"/>
        </w:rPr>
      </w:pPr>
      <w:r/>
    </w:p>
    <w:p>
      <w:pPr>
        <w:pStyle w:val="BodyText"/>
        <w:ind w:left="387"/>
        <w:spacing w:before="71" w:line="219" w:lineRule="auto"/>
        <w:outlineLvl w:val="4"/>
        <w:rPr>
          <w:sz w:val="22"/>
          <w:szCs w:val="22"/>
        </w:rPr>
      </w:pPr>
      <w:r>
        <w:rPr>
          <w:sz w:val="22"/>
          <w:szCs w:val="22"/>
          <w:b/>
          <w:bCs/>
          <w:spacing w:val="-22"/>
          <w:w w:val="97"/>
        </w:rPr>
        <w:t>八、取得我校推免资格的学生须知</w:t>
      </w:r>
    </w:p>
    <w:p>
      <w:pPr>
        <w:spacing w:line="259" w:lineRule="auto"/>
        <w:rPr>
          <w:rFonts w:ascii="Arial"/>
          <w:sz w:val="21"/>
        </w:rPr>
      </w:pPr>
      <w:r/>
    </w:p>
    <w:p>
      <w:pPr>
        <w:pStyle w:val="BodyText"/>
        <w:ind w:left="384" w:right="329" w:firstLine="110"/>
        <w:spacing w:before="68" w:line="418" w:lineRule="auto"/>
        <w:rPr>
          <w:sz w:val="21"/>
          <w:szCs w:val="21"/>
        </w:rPr>
      </w:pPr>
      <w:r>
        <w:rPr>
          <w:sz w:val="21"/>
          <w:szCs w:val="21"/>
          <w:spacing w:val="-16"/>
        </w:rPr>
        <w:t>(一)取得我校推免生资格的学生，注册、填写基本信息、网</w:t>
      </w:r>
      <w:r>
        <w:rPr>
          <w:sz w:val="21"/>
          <w:szCs w:val="21"/>
          <w:spacing w:val="-17"/>
        </w:rPr>
        <w:t>上报名、网上缴纳报名费、确认复试</w:t>
      </w:r>
      <w:r>
        <w:rPr>
          <w:sz w:val="21"/>
          <w:szCs w:val="21"/>
        </w:rPr>
        <w:t xml:space="preserve"> </w:t>
      </w:r>
      <w:r>
        <w:rPr>
          <w:rFonts w:ascii="FangSong" w:hAnsi="FangSong" w:eastAsia="FangSong" w:cs="FangSong"/>
          <w:sz w:val="21"/>
          <w:szCs w:val="21"/>
          <w:spacing w:val="-16"/>
        </w:rPr>
        <w:t>通</w:t>
      </w:r>
      <w:r>
        <w:rPr>
          <w:rFonts w:ascii="FangSong" w:hAnsi="FangSong" w:eastAsia="FangSong" w:cs="FangSong"/>
          <w:sz w:val="21"/>
          <w:szCs w:val="21"/>
          <w:spacing w:val="-16"/>
        </w:rPr>
        <w:t xml:space="preserve"> </w:t>
      </w:r>
      <w:r>
        <w:rPr>
          <w:rFonts w:ascii="FangSong" w:hAnsi="FangSong" w:eastAsia="FangSong" w:cs="FangSong"/>
          <w:sz w:val="21"/>
          <w:szCs w:val="21"/>
          <w:spacing w:val="-16"/>
        </w:rPr>
        <w:t>知</w:t>
      </w:r>
      <w:r>
        <w:rPr>
          <w:rFonts w:ascii="FangSong" w:hAnsi="FangSong" w:eastAsia="FangSong" w:cs="FangSong"/>
          <w:sz w:val="21"/>
          <w:szCs w:val="21"/>
          <w:spacing w:val="-16"/>
        </w:rPr>
        <w:t xml:space="preserve"> </w:t>
      </w:r>
      <w:r>
        <w:rPr>
          <w:rFonts w:ascii="FangSong" w:hAnsi="FangSong" w:eastAsia="FangSong" w:cs="FangSong"/>
          <w:sz w:val="21"/>
          <w:szCs w:val="21"/>
          <w:spacing w:val="-16"/>
        </w:rPr>
        <w:t>和</w:t>
      </w:r>
      <w:r>
        <w:rPr>
          <w:rFonts w:ascii="FangSong" w:hAnsi="FangSong" w:eastAsia="FangSong" w:cs="FangSong"/>
          <w:sz w:val="21"/>
          <w:szCs w:val="21"/>
          <w:spacing w:val="-18"/>
        </w:rPr>
        <w:t xml:space="preserve"> </w:t>
      </w:r>
      <w:r>
        <w:rPr>
          <w:rFonts w:ascii="FangSong" w:hAnsi="FangSong" w:eastAsia="FangSong" w:cs="FangSong"/>
          <w:sz w:val="21"/>
          <w:szCs w:val="21"/>
          <w:spacing w:val="-16"/>
        </w:rPr>
        <w:t>待</w:t>
      </w:r>
      <w:r>
        <w:rPr>
          <w:rFonts w:ascii="FangSong" w:hAnsi="FangSong" w:eastAsia="FangSong" w:cs="FangSong"/>
          <w:sz w:val="21"/>
          <w:szCs w:val="21"/>
          <w:spacing w:val="-16"/>
        </w:rPr>
        <w:t xml:space="preserve"> </w:t>
      </w:r>
      <w:r>
        <w:rPr>
          <w:rFonts w:ascii="FangSong" w:hAnsi="FangSong" w:eastAsia="FangSong" w:cs="FangSong"/>
          <w:sz w:val="21"/>
          <w:szCs w:val="21"/>
          <w:spacing w:val="-16"/>
        </w:rPr>
        <w:t>录</w:t>
      </w:r>
      <w:r>
        <w:rPr>
          <w:rFonts w:ascii="FangSong" w:hAnsi="FangSong" w:eastAsia="FangSong" w:cs="FangSong"/>
          <w:sz w:val="21"/>
          <w:szCs w:val="21"/>
          <w:spacing w:val="-19"/>
        </w:rPr>
        <w:t xml:space="preserve"> </w:t>
      </w:r>
      <w:r>
        <w:rPr>
          <w:rFonts w:ascii="FangSong" w:hAnsi="FangSong" w:eastAsia="FangSong" w:cs="FangSong"/>
          <w:sz w:val="21"/>
          <w:szCs w:val="21"/>
          <w:spacing w:val="-16"/>
        </w:rPr>
        <w:t>取</w:t>
      </w:r>
      <w:r>
        <w:rPr>
          <w:rFonts w:ascii="FangSong" w:hAnsi="FangSong" w:eastAsia="FangSong" w:cs="FangSong"/>
          <w:sz w:val="21"/>
          <w:szCs w:val="21"/>
          <w:spacing w:val="-16"/>
        </w:rPr>
        <w:t xml:space="preserve"> </w:t>
      </w:r>
      <w:r>
        <w:rPr>
          <w:rFonts w:ascii="FangSong" w:hAnsi="FangSong" w:eastAsia="FangSong" w:cs="FangSong"/>
          <w:sz w:val="21"/>
          <w:szCs w:val="21"/>
          <w:spacing w:val="-16"/>
        </w:rPr>
        <w:t>通</w:t>
      </w:r>
      <w:r>
        <w:rPr>
          <w:rFonts w:ascii="FangSong" w:hAnsi="FangSong" w:eastAsia="FangSong" w:cs="FangSong"/>
          <w:sz w:val="21"/>
          <w:szCs w:val="21"/>
          <w:spacing w:val="-17"/>
        </w:rPr>
        <w:t xml:space="preserve"> </w:t>
      </w:r>
      <w:r>
        <w:rPr>
          <w:rFonts w:ascii="FangSong" w:hAnsi="FangSong" w:eastAsia="FangSong" w:cs="FangSong"/>
          <w:sz w:val="21"/>
          <w:szCs w:val="21"/>
          <w:spacing w:val="-16"/>
        </w:rPr>
        <w:t>知</w:t>
      </w:r>
      <w:r>
        <w:rPr>
          <w:rFonts w:ascii="FangSong" w:hAnsi="FangSong" w:eastAsia="FangSong" w:cs="FangSong"/>
          <w:sz w:val="21"/>
          <w:szCs w:val="21"/>
          <w:spacing w:val="-16"/>
        </w:rPr>
        <w:t xml:space="preserve"> </w:t>
      </w:r>
      <w:r>
        <w:rPr>
          <w:rFonts w:ascii="FangSong" w:hAnsi="FangSong" w:eastAsia="FangSong" w:cs="FangSong"/>
          <w:sz w:val="21"/>
          <w:szCs w:val="21"/>
          <w:spacing w:val="-16"/>
        </w:rPr>
        <w:t>等</w:t>
      </w:r>
      <w:r>
        <w:rPr>
          <w:rFonts w:ascii="FangSong" w:hAnsi="FangSong" w:eastAsia="FangSong" w:cs="FangSong"/>
          <w:sz w:val="21"/>
          <w:szCs w:val="21"/>
          <w:spacing w:val="-19"/>
        </w:rPr>
        <w:t xml:space="preserve"> </w:t>
      </w:r>
      <w:r>
        <w:rPr>
          <w:rFonts w:ascii="FangSong" w:hAnsi="FangSong" w:eastAsia="FangSong" w:cs="FangSong"/>
          <w:sz w:val="21"/>
          <w:szCs w:val="21"/>
          <w:spacing w:val="-16"/>
        </w:rPr>
        <w:t>所</w:t>
      </w:r>
      <w:r>
        <w:rPr>
          <w:rFonts w:ascii="FangSong" w:hAnsi="FangSong" w:eastAsia="FangSong" w:cs="FangSong"/>
          <w:sz w:val="21"/>
          <w:szCs w:val="21"/>
          <w:spacing w:val="-22"/>
        </w:rPr>
        <w:t xml:space="preserve"> </w:t>
      </w:r>
      <w:r>
        <w:rPr>
          <w:rFonts w:ascii="FangSong" w:hAnsi="FangSong" w:eastAsia="FangSong" w:cs="FangSong"/>
          <w:sz w:val="21"/>
          <w:szCs w:val="21"/>
          <w:spacing w:val="-16"/>
        </w:rPr>
        <w:t>有</w:t>
      </w:r>
      <w:r>
        <w:rPr>
          <w:rFonts w:ascii="FangSong" w:hAnsi="FangSong" w:eastAsia="FangSong" w:cs="FangSong"/>
          <w:sz w:val="21"/>
          <w:szCs w:val="21"/>
          <w:spacing w:val="-20"/>
        </w:rPr>
        <w:t xml:space="preserve"> </w:t>
      </w:r>
      <w:r>
        <w:rPr>
          <w:rFonts w:ascii="FangSong" w:hAnsi="FangSong" w:eastAsia="FangSong" w:cs="FangSong"/>
          <w:sz w:val="21"/>
          <w:szCs w:val="21"/>
          <w:spacing w:val="-16"/>
        </w:rPr>
        <w:t>环</w:t>
      </w:r>
      <w:r>
        <w:rPr>
          <w:rFonts w:ascii="FangSong" w:hAnsi="FangSong" w:eastAsia="FangSong" w:cs="FangSong"/>
          <w:sz w:val="21"/>
          <w:szCs w:val="21"/>
          <w:spacing w:val="-14"/>
        </w:rPr>
        <w:t xml:space="preserve"> </w:t>
      </w:r>
      <w:r>
        <w:rPr>
          <w:rFonts w:ascii="FangSong" w:hAnsi="FangSong" w:eastAsia="FangSong" w:cs="FangSong"/>
          <w:sz w:val="21"/>
          <w:szCs w:val="21"/>
          <w:spacing w:val="-16"/>
        </w:rPr>
        <w:t>节</w:t>
      </w:r>
      <w:r>
        <w:rPr>
          <w:rFonts w:ascii="FangSong" w:hAnsi="FangSong" w:eastAsia="FangSong" w:cs="FangSong"/>
          <w:sz w:val="21"/>
          <w:szCs w:val="21"/>
          <w:spacing w:val="-20"/>
        </w:rPr>
        <w:t xml:space="preserve"> </w:t>
      </w:r>
      <w:r>
        <w:rPr>
          <w:rFonts w:ascii="FangSong" w:hAnsi="FangSong" w:eastAsia="FangSong" w:cs="FangSong"/>
          <w:sz w:val="21"/>
          <w:szCs w:val="21"/>
          <w:spacing w:val="-16"/>
        </w:rPr>
        <w:t>均</w:t>
      </w:r>
      <w:r>
        <w:rPr>
          <w:rFonts w:ascii="FangSong" w:hAnsi="FangSong" w:eastAsia="FangSong" w:cs="FangSong"/>
          <w:sz w:val="21"/>
          <w:szCs w:val="21"/>
          <w:spacing w:val="-19"/>
        </w:rPr>
        <w:t xml:space="preserve"> </w:t>
      </w:r>
      <w:r>
        <w:rPr>
          <w:rFonts w:ascii="FangSong" w:hAnsi="FangSong" w:eastAsia="FangSong" w:cs="FangSong"/>
          <w:sz w:val="21"/>
          <w:szCs w:val="21"/>
          <w:spacing w:val="-16"/>
        </w:rPr>
        <w:t>须</w:t>
      </w:r>
      <w:r>
        <w:rPr>
          <w:rFonts w:ascii="FangSong" w:hAnsi="FangSong" w:eastAsia="FangSong" w:cs="FangSong"/>
          <w:sz w:val="21"/>
          <w:szCs w:val="21"/>
          <w:spacing w:val="-15"/>
        </w:rPr>
        <w:t xml:space="preserve"> </w:t>
      </w:r>
      <w:r>
        <w:rPr>
          <w:rFonts w:ascii="FangSong" w:hAnsi="FangSong" w:eastAsia="FangSong" w:cs="FangSong"/>
          <w:sz w:val="21"/>
          <w:szCs w:val="21"/>
          <w:spacing w:val="-16"/>
        </w:rPr>
        <w:t>通</w:t>
      </w:r>
      <w:r>
        <w:rPr>
          <w:rFonts w:ascii="FangSong" w:hAnsi="FangSong" w:eastAsia="FangSong" w:cs="FangSong"/>
          <w:sz w:val="21"/>
          <w:szCs w:val="21"/>
          <w:spacing w:val="-17"/>
        </w:rPr>
        <w:t xml:space="preserve"> </w:t>
      </w:r>
      <w:r>
        <w:rPr>
          <w:rFonts w:ascii="FangSong" w:hAnsi="FangSong" w:eastAsia="FangSong" w:cs="FangSong"/>
          <w:sz w:val="21"/>
          <w:szCs w:val="21"/>
          <w:spacing w:val="-16"/>
        </w:rPr>
        <w:t>过</w:t>
      </w:r>
      <w:r>
        <w:rPr>
          <w:rFonts w:ascii="FangSong" w:hAnsi="FangSong" w:eastAsia="FangSong" w:cs="FangSong"/>
          <w:sz w:val="21"/>
          <w:szCs w:val="21"/>
          <w:spacing w:val="-21"/>
        </w:rPr>
        <w:t xml:space="preserve"> </w:t>
      </w:r>
      <w:r>
        <w:rPr>
          <w:rFonts w:ascii="FangSong" w:hAnsi="FangSong" w:eastAsia="FangSong" w:cs="FangSong"/>
          <w:sz w:val="21"/>
          <w:szCs w:val="21"/>
          <w:spacing w:val="-16"/>
        </w:rPr>
        <w:t>教</w:t>
      </w:r>
      <w:r>
        <w:rPr>
          <w:rFonts w:ascii="FangSong" w:hAnsi="FangSong" w:eastAsia="FangSong" w:cs="FangSong"/>
          <w:sz w:val="21"/>
          <w:szCs w:val="21"/>
          <w:spacing w:val="-13"/>
        </w:rPr>
        <w:t xml:space="preserve"> </w:t>
      </w:r>
      <w:r>
        <w:rPr>
          <w:rFonts w:ascii="FangSong" w:hAnsi="FangSong" w:eastAsia="FangSong" w:cs="FangSong"/>
          <w:sz w:val="21"/>
          <w:szCs w:val="21"/>
          <w:spacing w:val="-16"/>
        </w:rPr>
        <w:t>育</w:t>
      </w:r>
      <w:r>
        <w:rPr>
          <w:rFonts w:ascii="FangSong" w:hAnsi="FangSong" w:eastAsia="FangSong" w:cs="FangSong"/>
          <w:sz w:val="21"/>
          <w:szCs w:val="21"/>
          <w:spacing w:val="-19"/>
        </w:rPr>
        <w:t xml:space="preserve"> </w:t>
      </w:r>
      <w:r>
        <w:rPr>
          <w:rFonts w:ascii="FangSong" w:hAnsi="FangSong" w:eastAsia="FangSong" w:cs="FangSong"/>
          <w:sz w:val="21"/>
          <w:szCs w:val="21"/>
          <w:spacing w:val="-16"/>
        </w:rPr>
        <w:t>部</w:t>
      </w:r>
      <w:r>
        <w:rPr>
          <w:rFonts w:ascii="FangSong" w:hAnsi="FangSong" w:eastAsia="FangSong" w:cs="FangSong"/>
          <w:sz w:val="21"/>
          <w:szCs w:val="21"/>
          <w:spacing w:val="-34"/>
        </w:rPr>
        <w:t xml:space="preserve"> </w:t>
      </w:r>
      <w:r>
        <w:rPr>
          <w:rFonts w:ascii="FangSong" w:hAnsi="FangSong" w:eastAsia="FangSong" w:cs="FangSong"/>
          <w:sz w:val="21"/>
          <w:szCs w:val="21"/>
          <w:spacing w:val="-16"/>
        </w:rPr>
        <w:t>“</w:t>
      </w:r>
      <w:r>
        <w:rPr>
          <w:rFonts w:ascii="FangSong" w:hAnsi="FangSong" w:eastAsia="FangSong" w:cs="FangSong"/>
          <w:sz w:val="21"/>
          <w:szCs w:val="21"/>
          <w:spacing w:val="-17"/>
        </w:rPr>
        <w:t xml:space="preserve"> </w:t>
      </w:r>
      <w:r>
        <w:rPr>
          <w:rFonts w:ascii="FangSong" w:hAnsi="FangSong" w:eastAsia="FangSong" w:cs="FangSong"/>
          <w:sz w:val="21"/>
          <w:szCs w:val="21"/>
          <w:spacing w:val="-16"/>
        </w:rPr>
        <w:t>推</w:t>
      </w:r>
      <w:r>
        <w:rPr>
          <w:rFonts w:ascii="FangSong" w:hAnsi="FangSong" w:eastAsia="FangSong" w:cs="FangSong"/>
          <w:sz w:val="21"/>
          <w:szCs w:val="21"/>
          <w:spacing w:val="-13"/>
        </w:rPr>
        <w:t xml:space="preserve"> </w:t>
      </w:r>
      <w:r>
        <w:rPr>
          <w:rFonts w:ascii="FangSong" w:hAnsi="FangSong" w:eastAsia="FangSong" w:cs="FangSong"/>
          <w:sz w:val="21"/>
          <w:szCs w:val="21"/>
          <w:spacing w:val="-16"/>
        </w:rPr>
        <w:t>免</w:t>
      </w:r>
      <w:r>
        <w:rPr>
          <w:rFonts w:ascii="FangSong" w:hAnsi="FangSong" w:eastAsia="FangSong" w:cs="FangSong"/>
          <w:sz w:val="21"/>
          <w:szCs w:val="21"/>
          <w:spacing w:val="-20"/>
        </w:rPr>
        <w:t xml:space="preserve"> </w:t>
      </w:r>
      <w:r>
        <w:rPr>
          <w:rFonts w:ascii="FangSong" w:hAnsi="FangSong" w:eastAsia="FangSong" w:cs="FangSong"/>
          <w:sz w:val="21"/>
          <w:szCs w:val="21"/>
          <w:spacing w:val="-16"/>
        </w:rPr>
        <w:t>服</w:t>
      </w:r>
      <w:r>
        <w:rPr>
          <w:rFonts w:ascii="FangSong" w:hAnsi="FangSong" w:eastAsia="FangSong" w:cs="FangSong"/>
          <w:sz w:val="21"/>
          <w:szCs w:val="21"/>
          <w:spacing w:val="-14"/>
        </w:rPr>
        <w:t xml:space="preserve"> </w:t>
      </w:r>
      <w:r>
        <w:rPr>
          <w:rFonts w:ascii="FangSong" w:hAnsi="FangSong" w:eastAsia="FangSong" w:cs="FangSong"/>
          <w:sz w:val="21"/>
          <w:szCs w:val="21"/>
          <w:spacing w:val="-16"/>
        </w:rPr>
        <w:t>务</w:t>
      </w:r>
      <w:r>
        <w:rPr>
          <w:rFonts w:ascii="FangSong" w:hAnsi="FangSong" w:eastAsia="FangSong" w:cs="FangSong"/>
          <w:sz w:val="21"/>
          <w:szCs w:val="21"/>
          <w:spacing w:val="-11"/>
        </w:rPr>
        <w:t xml:space="preserve"> </w:t>
      </w:r>
      <w:r>
        <w:rPr>
          <w:rFonts w:ascii="FangSong" w:hAnsi="FangSong" w:eastAsia="FangSong" w:cs="FangSong"/>
          <w:sz w:val="21"/>
          <w:szCs w:val="21"/>
          <w:spacing w:val="-16"/>
        </w:rPr>
        <w:t>系</w:t>
      </w:r>
      <w:r>
        <w:rPr>
          <w:rFonts w:ascii="FangSong" w:hAnsi="FangSong" w:eastAsia="FangSong" w:cs="FangSong"/>
          <w:sz w:val="21"/>
          <w:szCs w:val="21"/>
          <w:spacing w:val="-15"/>
        </w:rPr>
        <w:t xml:space="preserve"> </w:t>
      </w:r>
      <w:r>
        <w:rPr>
          <w:rFonts w:ascii="FangSong" w:hAnsi="FangSong" w:eastAsia="FangSong" w:cs="FangSong"/>
          <w:sz w:val="21"/>
          <w:szCs w:val="21"/>
          <w:spacing w:val="-16"/>
        </w:rPr>
        <w:t>统</w:t>
      </w:r>
      <w:r>
        <w:rPr>
          <w:rFonts w:ascii="FangSong" w:hAnsi="FangSong" w:eastAsia="FangSong" w:cs="FangSong"/>
          <w:sz w:val="21"/>
          <w:szCs w:val="21"/>
          <w:spacing w:val="-16"/>
        </w:rPr>
        <w:t xml:space="preserve"> </w:t>
      </w:r>
      <w:r>
        <w:rPr>
          <w:rFonts w:ascii="FangSong" w:hAnsi="FangSong" w:eastAsia="FangSong" w:cs="FangSong"/>
          <w:sz w:val="21"/>
          <w:szCs w:val="21"/>
          <w:spacing w:val="-17"/>
        </w:rPr>
        <w:t>”</w:t>
      </w:r>
      <w:r>
        <w:rPr>
          <w:rFonts w:ascii="FangSong" w:hAnsi="FangSong" w:eastAsia="FangSong" w:cs="FangSong"/>
          <w:sz w:val="21"/>
          <w:szCs w:val="21"/>
          <w:spacing w:val="-17"/>
        </w:rPr>
        <w:t xml:space="preserve"> </w:t>
      </w:r>
      <w:r>
        <w:rPr>
          <w:rFonts w:ascii="FangSong" w:hAnsi="FangSong" w:eastAsia="FangSong" w:cs="FangSong"/>
          <w:sz w:val="21"/>
          <w:szCs w:val="21"/>
          <w:spacing w:val="-17"/>
        </w:rPr>
        <w:t>(</w:t>
      </w:r>
      <w:r>
        <w:rPr>
          <w:rFonts w:ascii="FangSong" w:hAnsi="FangSong" w:eastAsia="FangSong" w:cs="FangSong"/>
          <w:sz w:val="21"/>
          <w:szCs w:val="21"/>
          <w:spacing w:val="-17"/>
        </w:rPr>
        <w:t xml:space="preserve"> </w:t>
      </w:r>
      <w:r>
        <w:rPr>
          <w:rFonts w:ascii="FangSong" w:hAnsi="FangSong" w:eastAsia="FangSong" w:cs="FangSong"/>
          <w:sz w:val="21"/>
          <w:szCs w:val="21"/>
          <w:spacing w:val="-17"/>
        </w:rPr>
        <w:t>网</w:t>
      </w:r>
      <w:r>
        <w:rPr>
          <w:rFonts w:ascii="FangSong" w:hAnsi="FangSong" w:eastAsia="FangSong" w:cs="FangSong"/>
          <w:sz w:val="21"/>
          <w:szCs w:val="21"/>
        </w:rPr>
        <w:t xml:space="preserve"> </w:t>
      </w:r>
      <w:r>
        <w:rPr>
          <w:sz w:val="21"/>
          <w:szCs w:val="21"/>
          <w:spacing w:val="3"/>
        </w:rPr>
        <w:t>址：</w:t>
      </w:r>
      <w:hyperlink w:history="true" r:id="rId15">
        <w:r>
          <w:rPr>
            <w:rFonts w:ascii="Arial" w:hAnsi="Arial" w:eastAsia="Arial" w:cs="Arial"/>
            <w:sz w:val="21"/>
            <w:szCs w:val="21"/>
          </w:rPr>
          <w:t>https</w:t>
        </w:r>
        <w:r>
          <w:rPr>
            <w:rFonts w:ascii="Arial" w:hAnsi="Arial" w:eastAsia="Arial" w:cs="Arial"/>
            <w:sz w:val="21"/>
            <w:szCs w:val="21"/>
            <w:spacing w:val="3"/>
          </w:rPr>
          <w:t>://</w:t>
        </w:r>
        <w:r>
          <w:rPr>
            <w:rFonts w:ascii="Arial" w:hAnsi="Arial" w:eastAsia="Arial" w:cs="Arial"/>
            <w:sz w:val="21"/>
            <w:szCs w:val="21"/>
          </w:rPr>
          <w:t>yz</w:t>
        </w:r>
        <w:r>
          <w:rPr>
            <w:rFonts w:ascii="Arial" w:hAnsi="Arial" w:eastAsia="Arial" w:cs="Arial"/>
            <w:sz w:val="21"/>
            <w:szCs w:val="21"/>
            <w:spacing w:val="3"/>
          </w:rPr>
          <w:t>.</w:t>
        </w:r>
        <w:r>
          <w:rPr>
            <w:rFonts w:ascii="Arial" w:hAnsi="Arial" w:eastAsia="Arial" w:cs="Arial"/>
            <w:sz w:val="21"/>
            <w:szCs w:val="21"/>
          </w:rPr>
          <w:t xml:space="preserve">   </w:t>
        </w:r>
        <w:r>
          <w:rPr>
            <w:rFonts w:ascii="Times New Roman" w:hAnsi="Times New Roman" w:eastAsia="Times New Roman" w:cs="Times New Roman"/>
            <w:sz w:val="21"/>
            <w:szCs w:val="21"/>
            <w:color w:val="102040"/>
          </w:rPr>
          <w:t>chsi</w:t>
        </w:r>
        <w:r>
          <w:rPr>
            <w:rFonts w:ascii="Times New Roman" w:hAnsi="Times New Roman" w:eastAsia="Times New Roman" w:cs="Times New Roman"/>
            <w:sz w:val="21"/>
            <w:szCs w:val="21"/>
            <w:color w:val="102040"/>
            <w:spacing w:val="3"/>
          </w:rPr>
          <w:t>.</w:t>
        </w:r>
        <w:r>
          <w:rPr>
            <w:rFonts w:ascii="Times New Roman" w:hAnsi="Times New Roman" w:eastAsia="Times New Roman" w:cs="Times New Roman"/>
            <w:sz w:val="21"/>
            <w:szCs w:val="21"/>
            <w:color w:val="102040"/>
          </w:rPr>
          <w:t>com</w:t>
        </w:r>
        <w:r>
          <w:rPr>
            <w:rFonts w:ascii="Times New Roman" w:hAnsi="Times New Roman" w:eastAsia="Times New Roman" w:cs="Times New Roman"/>
            <w:sz w:val="21"/>
            <w:szCs w:val="21"/>
            <w:color w:val="102040"/>
            <w:spacing w:val="3"/>
          </w:rPr>
          <w:t>.  </w:t>
        </w:r>
        <w:r>
          <w:rPr>
            <w:rFonts w:ascii="Times New Roman" w:hAnsi="Times New Roman" w:eastAsia="Times New Roman" w:cs="Times New Roman"/>
            <w:sz w:val="21"/>
            <w:szCs w:val="21"/>
          </w:rPr>
          <w:t>cn</w:t>
        </w:r>
        <w:r>
          <w:rPr>
            <w:rFonts w:ascii="Times New Roman" w:hAnsi="Times New Roman" w:eastAsia="Times New Roman" w:cs="Times New Roman"/>
            <w:sz w:val="21"/>
            <w:szCs w:val="21"/>
            <w:spacing w:val="3"/>
          </w:rPr>
          <w:t>/  </w:t>
        </w:r>
        <w:r>
          <w:rPr>
            <w:rFonts w:ascii="Times New Roman" w:hAnsi="Times New Roman" w:eastAsia="Times New Roman" w:cs="Times New Roman"/>
            <w:sz w:val="21"/>
            <w:szCs w:val="21"/>
          </w:rPr>
          <w:t>tm</w:t>
        </w:r>
      </w:hyperlink>
      <w:r>
        <w:rPr>
          <w:rFonts w:ascii="Times New Roman" w:hAnsi="Times New Roman" w:eastAsia="Times New Roman" w:cs="Times New Roman"/>
          <w:sz w:val="21"/>
          <w:szCs w:val="21"/>
          <w:spacing w:val="3"/>
        </w:rPr>
        <w:t>)  </w:t>
      </w:r>
      <w:r>
        <w:rPr>
          <w:sz w:val="21"/>
          <w:szCs w:val="21"/>
          <w:spacing w:val="3"/>
        </w:rPr>
        <w:t>进行。2026年全国推免生接收工作时间为2025年9月</w:t>
      </w:r>
      <w:r>
        <w:rPr>
          <w:sz w:val="21"/>
          <w:szCs w:val="21"/>
          <w:spacing w:val="2"/>
        </w:rPr>
        <w:t>22 </w:t>
      </w:r>
      <w:r>
        <w:rPr>
          <w:sz w:val="21"/>
          <w:szCs w:val="21"/>
          <w:spacing w:val="10"/>
        </w:rPr>
        <w:t>日至10月20日。</w:t>
      </w:r>
    </w:p>
    <w:p>
      <w:pPr>
        <w:pStyle w:val="BodyText"/>
        <w:ind w:left="495"/>
        <w:spacing w:before="289" w:line="219" w:lineRule="auto"/>
        <w:rPr/>
      </w:pPr>
      <w:r>
        <w:rPr>
          <w:spacing w:val="3"/>
        </w:rPr>
        <w:t>(二)已被招生单位接收的推免生，不得再报名参加2026年全国硕士研究生统一招</w:t>
      </w:r>
      <w:r>
        <w:rPr>
          <w:spacing w:val="2"/>
        </w:rPr>
        <w:t>生考试，否</w:t>
      </w:r>
    </w:p>
    <w:p>
      <w:pPr>
        <w:spacing w:line="267" w:lineRule="auto"/>
        <w:rPr>
          <w:rFonts w:ascii="Arial"/>
          <w:sz w:val="21"/>
        </w:rPr>
      </w:pPr>
      <w:r/>
    </w:p>
    <w:p>
      <w:pPr>
        <w:pStyle w:val="BodyText"/>
        <w:ind w:left="384"/>
        <w:spacing w:before="66" w:line="219" w:lineRule="auto"/>
        <w:rPr/>
      </w:pPr>
      <w:r>
        <w:rPr>
          <w:spacing w:val="-10"/>
        </w:rPr>
        <w:t>则将取消其推免生资格。</w:t>
      </w:r>
    </w:p>
    <w:p>
      <w:pPr>
        <w:spacing w:line="264" w:lineRule="auto"/>
        <w:rPr>
          <w:rFonts w:ascii="Arial"/>
          <w:sz w:val="21"/>
        </w:rPr>
      </w:pPr>
      <w:r/>
    </w:p>
    <w:p>
      <w:pPr>
        <w:pStyle w:val="BodyText"/>
        <w:ind w:left="495"/>
        <w:spacing w:before="66" w:line="219" w:lineRule="auto"/>
        <w:rPr/>
      </w:pPr>
      <w:r>
        <w:rPr>
          <w:spacing w:val="-5"/>
        </w:rPr>
        <w:t>(三)入学前未取得本科毕业证书和学士学位证书者，取消录取资格。</w:t>
      </w:r>
    </w:p>
    <w:p>
      <w:pPr>
        <w:spacing w:line="250" w:lineRule="auto"/>
        <w:rPr>
          <w:rFonts w:ascii="Arial"/>
          <w:sz w:val="21"/>
        </w:rPr>
      </w:pPr>
      <w:r/>
    </w:p>
    <w:p>
      <w:pPr>
        <w:pStyle w:val="BodyText"/>
        <w:ind w:left="387"/>
        <w:spacing w:before="68" w:line="227" w:lineRule="auto"/>
        <w:outlineLvl w:val="4"/>
        <w:rPr>
          <w:sz w:val="21"/>
          <w:szCs w:val="21"/>
        </w:rPr>
      </w:pPr>
      <w:r>
        <w:rPr>
          <w:rFonts w:ascii="KaiTi" w:hAnsi="KaiTi" w:eastAsia="KaiTi" w:cs="KaiTi"/>
          <w:sz w:val="21"/>
          <w:szCs w:val="21"/>
          <w:b/>
          <w:bCs/>
          <w:spacing w:val="-24"/>
        </w:rPr>
        <w:t>九、</w:t>
      </w:r>
      <w:r>
        <w:rPr>
          <w:sz w:val="21"/>
          <w:szCs w:val="21"/>
          <w:b/>
          <w:bCs/>
          <w:spacing w:val="-24"/>
        </w:rPr>
        <w:t>附则</w:t>
      </w:r>
    </w:p>
    <w:p>
      <w:pPr>
        <w:pStyle w:val="BodyText"/>
        <w:ind w:left="785"/>
        <w:spacing w:before="305" w:line="219" w:lineRule="auto"/>
        <w:rPr/>
      </w:pPr>
      <w:r>
        <w:rPr>
          <w:spacing w:val="-8"/>
        </w:rPr>
        <w:t>凡被成功推荐免试攻读硕士研究生的同学，</w:t>
      </w:r>
      <w:r>
        <w:rPr>
          <w:spacing w:val="-9"/>
        </w:rPr>
        <w:t>均需服从系教学和学生工作办公室统一安排，利用</w:t>
      </w:r>
    </w:p>
    <w:p>
      <w:pPr>
        <w:spacing w:line="257" w:lineRule="auto"/>
        <w:rPr>
          <w:rFonts w:ascii="Arial"/>
          <w:sz w:val="21"/>
        </w:rPr>
      </w:pPr>
      <w:r/>
    </w:p>
    <w:p>
      <w:pPr>
        <w:pStyle w:val="BodyText"/>
        <w:ind w:left="384" w:right="349"/>
        <w:spacing w:before="65" w:line="517" w:lineRule="auto"/>
        <w:rPr/>
      </w:pPr>
      <w:r>
        <w:rPr>
          <w:spacing w:val="-9"/>
        </w:rPr>
        <w:t>课余时间参与系有关志愿服务工作。其他未尽事宜，由首都师范大学化学系推免生遴选工作小组研</w:t>
      </w:r>
      <w:r>
        <w:rPr>
          <w:spacing w:val="14"/>
        </w:rPr>
        <w:t xml:space="preserve"> </w:t>
      </w:r>
      <w:r>
        <w:rPr>
          <w:spacing w:val="-9"/>
        </w:rPr>
        <w:t>究后，报首都师范大学推免生遴选工作领导小组批准决定。本通知如有条款与学校通知冲突，以学</w:t>
      </w:r>
    </w:p>
    <w:p>
      <w:pPr>
        <w:pStyle w:val="BodyText"/>
        <w:ind w:left="384"/>
        <w:spacing w:line="220" w:lineRule="auto"/>
        <w:rPr/>
      </w:pPr>
      <w:r>
        <w:rPr>
          <w:spacing w:val="-13"/>
        </w:rPr>
        <w:t>校通知为准。</w:t>
      </w:r>
    </w:p>
    <w:p>
      <w:pPr>
        <w:pStyle w:val="BodyText"/>
        <w:ind w:left="6924"/>
        <w:spacing w:before="282" w:line="219" w:lineRule="auto"/>
        <w:rPr/>
      </w:pPr>
      <w:r>
        <w:drawing>
          <wp:anchor distT="0" distB="0" distL="0" distR="0" simplePos="0" relativeHeight="251673600" behindDoc="0" locked="0" layoutInCell="1" allowOverlap="1">
            <wp:simplePos x="0" y="0"/>
            <wp:positionH relativeFrom="column">
              <wp:posOffset>4340226</wp:posOffset>
            </wp:positionH>
            <wp:positionV relativeFrom="paragraph">
              <wp:posOffset>-36047</wp:posOffset>
            </wp:positionV>
            <wp:extent cx="1352537" cy="1365226"/>
            <wp:effectExtent l="0" t="0" r="0" b="0"/>
            <wp:wrapNone/>
            <wp:docPr id="14" name="IM 14"/>
            <wp:cNvGraphicFramePr/>
            <a:graphic>
              <a:graphicData uri="http://schemas.openxmlformats.org/drawingml/2006/picture">
                <pic:pic>
                  <pic:nvPicPr>
                    <pic:cNvPr id="14" name="IM 14"/>
                    <pic:cNvPicPr/>
                  </pic:nvPicPr>
                  <pic:blipFill>
                    <a:blip r:embed="rId16"/>
                    <a:stretch>
                      <a:fillRect/>
                    </a:stretch>
                  </pic:blipFill>
                  <pic:spPr>
                    <a:xfrm rot="0">
                      <a:off x="0" y="0"/>
                      <a:ext cx="1352537" cy="1365226"/>
                    </a:xfrm>
                    <a:prstGeom prst="rect">
                      <a:avLst/>
                    </a:prstGeom>
                  </pic:spPr>
                </pic:pic>
              </a:graphicData>
            </a:graphic>
          </wp:anchor>
        </w:drawing>
      </w:r>
      <w:r>
        <w:rPr>
          <w:spacing w:val="-11"/>
        </w:rPr>
        <w:t>首都师范大学化学系</w:t>
      </w:r>
    </w:p>
    <w:p>
      <w:pPr>
        <w:spacing w:line="295" w:lineRule="auto"/>
        <w:rPr>
          <w:rFonts w:ascii="Arial"/>
          <w:sz w:val="21"/>
        </w:rPr>
      </w:pPr>
      <w:r/>
    </w:p>
    <w:p>
      <w:pPr>
        <w:ind w:left="7504"/>
        <w:spacing w:before="58" w:line="188" w:lineRule="auto"/>
        <w:rPr>
          <w:rFonts w:ascii="Times New Roman" w:hAnsi="Times New Roman" w:eastAsia="Times New Roman" w:cs="Times New Roman"/>
          <w:sz w:val="20"/>
          <w:szCs w:val="20"/>
        </w:rPr>
      </w:pPr>
      <w:r>
        <w:rPr>
          <w:rFonts w:ascii="Times New Roman" w:hAnsi="Times New Roman" w:eastAsia="Times New Roman" w:cs="Times New Roman"/>
          <w:sz w:val="20"/>
          <w:szCs w:val="20"/>
          <w:spacing w:val="-2"/>
        </w:rPr>
        <w:t>2025</w:t>
      </w:r>
      <w:r>
        <w:rPr>
          <w:rFonts w:ascii="Times New Roman" w:hAnsi="Times New Roman" w:eastAsia="Times New Roman" w:cs="Times New Roman"/>
          <w:sz w:val="20"/>
          <w:szCs w:val="20"/>
          <w:spacing w:val="29"/>
        </w:rPr>
        <w:t xml:space="preserve"> </w:t>
      </w:r>
      <w:r>
        <w:rPr>
          <w:rFonts w:ascii="Times New Roman" w:hAnsi="Times New Roman" w:eastAsia="Times New Roman" w:cs="Times New Roman"/>
          <w:sz w:val="20"/>
          <w:szCs w:val="20"/>
          <w:spacing w:val="-2"/>
        </w:rPr>
        <w:t>09-08</w:t>
      </w:r>
    </w:p>
    <w:sectPr>
      <w:footerReference w:type="default" r:id="rId14"/>
      <w:pgSz w:w="11900" w:h="16840"/>
      <w:pgMar w:top="1431" w:right="1150" w:bottom="1924" w:left="1785" w:header="0" w:footer="1789"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KaiTi">
    <w:panose1 w:val="02010609060101010101"/>
    <w:charset w:val="86"/>
    <w:family w:val="auto"/>
    <w:pitch w:val="default"/>
    <w:sig w:usb0="800002BF" w:usb1="38CF7CFA" w:usb2="00000016" w:usb3="00000000" w:csb0="00040001" w:csb1="00000000"/>
  </w:font>
  <w:font w:name="FangSong">
    <w:panose1 w:val="02010609060101010101"/>
    <w:charset w:val="86"/>
    <w:family w:val="auto"/>
    <w:pitch w:val="default"/>
    <w:sig w:usb0="800002BF" w:usb1="38CF7CFA" w:usb2="00000016" w:usb3="00000000" w:csb0="00040001"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20"/>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110"/>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84"/>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514"/>
      <w:spacing w:line="172" w:lineRule="auto"/>
      <w:rPr>
        <w:rFonts w:ascii="Times New Roman" w:hAnsi="Times New Roman" w:eastAsia="Times New Roman" w:cs="Times New Roman"/>
        <w:sz w:val="13"/>
        <w:szCs w:val="13"/>
      </w:rPr>
    </w:pPr>
    <w:r>
      <w:rPr>
        <w:rFonts w:ascii="Times New Roman" w:hAnsi="Times New Roman" w:eastAsia="Times New Roman" w:cs="Times New Roman"/>
        <w:sz w:val="13"/>
        <w:szCs w:val="13"/>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345"/>
      <w:spacing w:line="171"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64"/>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footer8.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ind w:left="4484"/>
      <w:spacing w:line="174" w:lineRule="auto"/>
      <w:rPr>
        <w:rFonts w:ascii="Times New Roman" w:hAnsi="Times New Roman" w:eastAsia="Times New Roman" w:cs="Times New Roman"/>
        <w:sz w:val="15"/>
        <w:szCs w:val="15"/>
      </w:rPr>
    </w:pPr>
    <w:r>
      <w:rPr>
        <w:rFonts w:ascii="Times New Roman" w:hAnsi="Times New Roman" w:eastAsia="Times New Roman" w:cs="Times New Roman"/>
        <w:sz w:val="15"/>
        <w:szCs w:val="15"/>
      </w:rPr>
      <w:t>8</w:t>
    </w:r>
  </w:p>
</w:ft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0"/>
      <w:szCs w:val="20"/>
      <w:lang w:val="en-US" w:eastAsia="en-US" w:bidi="ar-SA"/>
    </w:rPr>
  </w:style>
  <w:style w:type="paragraph" w:styleId="TableText">
    <w:name w:val="Table Text"/>
    <w:basedOn w:val="Normal"/>
    <w:semiHidden/>
    <w:qFormat/>
    <w:pPr/>
    <w:rPr>
      <w:rFonts w:ascii="SimSun" w:hAnsi="SimSun" w:eastAsia="SimSun" w:cs="SimSun"/>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image" Target="media/image4.png"/><Relationship Id="rId6" Type="http://schemas.openxmlformats.org/officeDocument/2006/relationships/footer" Target="footer3.xml"/><Relationship Id="rId5" Type="http://schemas.openxmlformats.org/officeDocument/2006/relationships/image" Target="media/image3.png"/><Relationship Id="rId4" Type="http://schemas.openxmlformats.org/officeDocument/2006/relationships/footer" Target="footer2.xml"/><Relationship Id="rId3" Type="http://schemas.openxmlformats.org/officeDocument/2006/relationships/image" Target="media/image2.png"/><Relationship Id="rId2" Type="http://schemas.openxmlformats.org/officeDocument/2006/relationships/image" Target="media/image1.png"/><Relationship Id="rId19" Type="http://schemas.openxmlformats.org/officeDocument/2006/relationships/fontTable" Target="fontTable.xml"/><Relationship Id="rId18" Type="http://schemas.openxmlformats.org/officeDocument/2006/relationships/styles" Target="styles.xml"/><Relationship Id="rId17" Type="http://schemas.openxmlformats.org/officeDocument/2006/relationships/settings" Target="settings.xml"/><Relationship Id="rId16" Type="http://schemas.openxmlformats.org/officeDocument/2006/relationships/image" Target="media/image7.png"/><Relationship Id="rId15" Type="http://schemas.openxmlformats.org/officeDocument/2006/relationships/hyperlink" Target="https://yz.chsi.com.cn/tm" TargetMode="External"/><Relationship Id="rId14" Type="http://schemas.openxmlformats.org/officeDocument/2006/relationships/footer" Target="footer8.xml"/><Relationship Id="rId13" Type="http://schemas.openxmlformats.org/officeDocument/2006/relationships/image" Target="media/image6.png"/><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image" Target="media/image5.png"/><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2026-09-11T17:21:47Z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2026-09-11T17:21:47</vt:filetime>
  </property>
  <property fmtid="{D5CDD505-2E9C-101B-9397-08002B2CF9AE}" pid="4" name="UsrData">
    <vt:lpwstr>6aa3c827d4949c00203fa295wl</vt:lpwstr>
  </property>
</Properties>
</file>