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1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ind w:left="786"/>
        <w:spacing w:before="377" w:line="219" w:lineRule="auto"/>
        <w:outlineLvl w:val="0"/>
        <w:rPr>
          <w:rFonts w:ascii="SimSun" w:hAnsi="SimSun" w:eastAsia="SimSun" w:cs="SimSun"/>
          <w:sz w:val="116"/>
          <w:szCs w:val="116"/>
        </w:rPr>
      </w:pPr>
      <w:r>
        <w:rPr>
          <w:rFonts w:ascii="SimSun" w:hAnsi="SimSun" w:eastAsia="SimSun" w:cs="SimSun"/>
          <w:sz w:val="116"/>
          <w:szCs w:val="116"/>
          <w:b/>
          <w:bCs/>
          <w:color w:val="D04040"/>
          <w:spacing w:val="45"/>
        </w:rPr>
        <w:t>江汉大学文件</w:t>
      </w:r>
    </w:p>
    <w:p>
      <w:pPr>
        <w:pStyle w:val="BodyText"/>
        <w:spacing w:line="297" w:lineRule="auto"/>
        <w:rPr/>
      </w:pPr>
      <w:r/>
    </w:p>
    <w:p>
      <w:pPr>
        <w:pStyle w:val="BodyText"/>
        <w:spacing w:line="297" w:lineRule="auto"/>
        <w:rPr/>
      </w:pPr>
      <w:r/>
    </w:p>
    <w:p>
      <w:pPr>
        <w:ind w:left="2939"/>
        <w:spacing w:before="113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-15"/>
        </w:rPr>
        <w:t>江校教〔2025〕26号</w:t>
      </w:r>
    </w:p>
    <w:p>
      <w:pPr>
        <w:ind w:firstLine="19"/>
        <w:spacing w:before="189" w:line="60" w:lineRule="exact"/>
        <w:rPr/>
      </w:pPr>
      <w:r>
        <w:rPr>
          <w:position w:val="-1"/>
        </w:rPr>
        <w:drawing>
          <wp:inline distT="0" distB="0" distL="0" distR="0">
            <wp:extent cx="5689607" cy="38175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89607" cy="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216"/>
        <w:spacing w:before="156" w:line="219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color w:val="707070"/>
          <w:spacing w:val="-39"/>
        </w:rPr>
        <w:t>江汉大学关于印发《江汉大学推荐优秀应届</w:t>
      </w:r>
    </w:p>
    <w:p>
      <w:pPr>
        <w:ind w:left="1446" w:right="985" w:hanging="550"/>
        <w:spacing w:before="141" w:line="272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color w:val="605060"/>
          <w:spacing w:val="-42"/>
        </w:rPr>
        <w:t>本科毕业生免试攻读硕士学位研究生</w:t>
      </w:r>
      <w:r>
        <w:rPr>
          <w:rFonts w:ascii="SimSun" w:hAnsi="SimSun" w:eastAsia="SimSun" w:cs="SimSun"/>
          <w:sz w:val="48"/>
          <w:szCs w:val="48"/>
          <w:color w:val="605060"/>
          <w:spacing w:val="8"/>
        </w:rPr>
        <w:t xml:space="preserve"> </w:t>
      </w:r>
      <w:r>
        <w:rPr>
          <w:rFonts w:ascii="SimSun" w:hAnsi="SimSun" w:eastAsia="SimSun" w:cs="SimSun"/>
          <w:sz w:val="48"/>
          <w:szCs w:val="48"/>
          <w:b/>
          <w:bCs/>
          <w:color w:val="605060"/>
          <w:spacing w:val="-22"/>
        </w:rPr>
        <w:t>工作管理办法(试行)》的通知</w:t>
      </w:r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spacing w:before="104" w:line="22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7"/>
        </w:rPr>
        <w:t>各学院(部)、各部门、各单位：</w:t>
      </w:r>
    </w:p>
    <w:p>
      <w:pPr>
        <w:ind w:right="89" w:firstLine="629"/>
        <w:spacing w:before="165" w:line="323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10"/>
        </w:rPr>
        <w:t>《江汉大学推荐优秀应届本科毕业生免试攻读硕士学位研</w:t>
      </w:r>
      <w:r>
        <w:rPr>
          <w:rFonts w:ascii="FangSong" w:hAnsi="FangSong" w:eastAsia="FangSong" w:cs="FangSong"/>
          <w:sz w:val="32"/>
          <w:szCs w:val="32"/>
          <w:spacing w:val="8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29"/>
        </w:rPr>
        <w:t>究生工作管理办法(试行)》已经2025年9月3日第22次校党</w:t>
      </w:r>
      <w:r>
        <w:rPr>
          <w:rFonts w:ascii="FangSong" w:hAnsi="FangSong" w:eastAsia="FangSong" w:cs="FangSong"/>
          <w:sz w:val="32"/>
          <w:szCs w:val="32"/>
          <w:spacing w:val="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委会审议通过，现予印发，请认真贯彻执行。</w:t>
      </w: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5839"/>
        <w:spacing w:before="105" w:line="223" w:lineRule="auto"/>
        <w:rPr>
          <w:rFonts w:ascii="FangSong" w:hAnsi="FangSong" w:eastAsia="FangSong" w:cs="FangSong"/>
          <w:sz w:val="32"/>
          <w:szCs w:val="32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3359115</wp:posOffset>
            </wp:positionH>
            <wp:positionV relativeFrom="paragraph">
              <wp:posOffset>-785515</wp:posOffset>
            </wp:positionV>
            <wp:extent cx="1644617" cy="1632026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44617" cy="1632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hAnsi="FangSong" w:eastAsia="FangSong" w:cs="FangSong"/>
          <w:sz w:val="32"/>
          <w:szCs w:val="32"/>
          <w:spacing w:val="4"/>
        </w:rPr>
        <w:t>江汉大学</w:t>
      </w:r>
    </w:p>
    <w:p>
      <w:pPr>
        <w:ind w:left="5299"/>
        <w:spacing w:before="203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45"/>
        </w:rPr>
        <w:t>2025年9月5日</w:t>
      </w:r>
    </w:p>
    <w:p>
      <w:pPr>
        <w:spacing w:line="222" w:lineRule="auto"/>
        <w:sectPr>
          <w:pgSz w:w="11910" w:h="16840"/>
          <w:pgMar w:top="1431" w:right="1460" w:bottom="0" w:left="1470" w:header="0" w:footer="0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pStyle w:val="BodyText"/>
        <w:spacing w:line="339" w:lineRule="auto"/>
        <w:rPr/>
      </w:pPr>
      <w:r/>
    </w:p>
    <w:p>
      <w:pPr>
        <w:pStyle w:val="BodyText"/>
        <w:spacing w:line="339" w:lineRule="auto"/>
        <w:rPr/>
      </w:pPr>
      <w:r/>
    </w:p>
    <w:p>
      <w:pPr>
        <w:ind w:left="676"/>
        <w:spacing w:before="156" w:line="219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41"/>
        </w:rPr>
        <w:t>江汉大学推荐优秀应届本科毕业生免试</w:t>
      </w:r>
    </w:p>
    <w:p>
      <w:pPr>
        <w:ind w:left="286"/>
        <w:spacing w:before="120" w:line="219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24"/>
        </w:rPr>
        <w:t>攻读硕士学位研究生工作管理办法(试行)</w:t>
      </w:r>
    </w:p>
    <w:p>
      <w:pPr>
        <w:pStyle w:val="BodyText"/>
        <w:spacing w:line="259" w:lineRule="auto"/>
        <w:rPr/>
      </w:pPr>
      <w:r/>
    </w:p>
    <w:p>
      <w:pPr>
        <w:pStyle w:val="BodyText"/>
        <w:spacing w:line="260" w:lineRule="auto"/>
        <w:rPr/>
      </w:pPr>
      <w:r/>
    </w:p>
    <w:p>
      <w:pPr>
        <w:pStyle w:val="BodyText"/>
        <w:spacing w:line="260" w:lineRule="auto"/>
        <w:rPr/>
      </w:pPr>
      <w:r/>
    </w:p>
    <w:p>
      <w:pPr>
        <w:ind w:left="3344"/>
        <w:spacing w:before="114" w:line="219" w:lineRule="auto"/>
        <w:outlineLvl w:val="1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b/>
          <w:bCs/>
          <w:spacing w:val="-26"/>
        </w:rPr>
        <w:t>第一章</w:t>
      </w:r>
      <w:r>
        <w:rPr>
          <w:rFonts w:ascii="SimSun" w:hAnsi="SimSun" w:eastAsia="SimSun" w:cs="SimSun"/>
          <w:sz w:val="35"/>
          <w:szCs w:val="35"/>
          <w:spacing w:val="-26"/>
        </w:rPr>
        <w:t xml:space="preserve">  </w:t>
      </w:r>
      <w:r>
        <w:rPr>
          <w:rFonts w:ascii="SimSun" w:hAnsi="SimSun" w:eastAsia="SimSun" w:cs="SimSun"/>
          <w:sz w:val="35"/>
          <w:szCs w:val="35"/>
          <w:b/>
          <w:bCs/>
          <w:spacing w:val="-26"/>
        </w:rPr>
        <w:t>总</w:t>
      </w:r>
      <w:r>
        <w:rPr>
          <w:rFonts w:ascii="SimSun" w:hAnsi="SimSun" w:eastAsia="SimSun" w:cs="SimSun"/>
          <w:sz w:val="35"/>
          <w:szCs w:val="35"/>
          <w:spacing w:val="138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-26"/>
        </w:rPr>
        <w:t>则</w:t>
      </w:r>
    </w:p>
    <w:p>
      <w:pPr>
        <w:ind w:left="29" w:right="18" w:firstLine="640"/>
        <w:spacing w:before="343" w:line="288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spacing w:val="-20"/>
        </w:rPr>
        <w:t>第一条</w:t>
      </w:r>
      <w:r>
        <w:rPr>
          <w:rFonts w:ascii="SimHei" w:hAnsi="SimHei" w:eastAsia="SimHei" w:cs="SimHei"/>
          <w:sz w:val="35"/>
          <w:szCs w:val="35"/>
          <w:spacing w:val="-20"/>
        </w:rPr>
        <w:t xml:space="preserve">  </w:t>
      </w:r>
      <w:r>
        <w:rPr>
          <w:rFonts w:ascii="FangSong" w:hAnsi="FangSong" w:eastAsia="FangSong" w:cs="FangSong"/>
          <w:sz w:val="35"/>
          <w:szCs w:val="35"/>
          <w:spacing w:val="-20"/>
        </w:rPr>
        <w:t>为贯彻习近平总书记关于教育的重要论述和全国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4"/>
        </w:rPr>
        <w:t>教育大会精神，加大拔尖创新人才选拔培养力度，激励广大在校</w:t>
      </w:r>
      <w:r>
        <w:rPr>
          <w:rFonts w:ascii="FangSong" w:hAnsi="FangSong" w:eastAsia="FangSong" w:cs="FangSong"/>
          <w:sz w:val="35"/>
          <w:szCs w:val="35"/>
          <w:spacing w:val="2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4"/>
        </w:rPr>
        <w:t>学生勤奋学习、全面发展，规范我校推荐优秀应届本科毕业生免</w:t>
      </w:r>
      <w:r>
        <w:rPr>
          <w:rFonts w:ascii="FangSong" w:hAnsi="FangSong" w:eastAsia="FangSong" w:cs="FangSong"/>
          <w:sz w:val="35"/>
          <w:szCs w:val="35"/>
          <w:spacing w:val="4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26"/>
        </w:rPr>
        <w:t>试攻读研究生工作(以下简称“推免工作”),根据教育部《</w:t>
      </w:r>
      <w:r>
        <w:rPr>
          <w:rFonts w:ascii="FangSong" w:hAnsi="FangSong" w:eastAsia="FangSong" w:cs="FangSong"/>
          <w:sz w:val="35"/>
          <w:szCs w:val="35"/>
          <w:spacing w:val="-27"/>
        </w:rPr>
        <w:t>全国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22"/>
        </w:rPr>
        <w:t>普通高等学校推荐优秀应届本科毕业生免试攻读硕士学位研究</w:t>
      </w:r>
      <w:r>
        <w:rPr>
          <w:rFonts w:ascii="FangSong" w:hAnsi="FangSong" w:eastAsia="FangSong" w:cs="FangSong"/>
          <w:sz w:val="35"/>
          <w:szCs w:val="35"/>
          <w:spacing w:val="9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13"/>
        </w:rPr>
        <w:t>生工作管理办法(试行)》(教学〔2006〕14</w:t>
      </w:r>
      <w:r>
        <w:rPr>
          <w:rFonts w:ascii="FangSong" w:hAnsi="FangSong" w:eastAsia="FangSong" w:cs="FangSong"/>
          <w:sz w:val="35"/>
          <w:szCs w:val="35"/>
          <w:spacing w:val="-13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13"/>
        </w:rPr>
        <w:t>号)和《教育部办</w:t>
      </w:r>
      <w:r>
        <w:rPr>
          <w:rFonts w:ascii="FangSong" w:hAnsi="FangSong" w:eastAsia="FangSong" w:cs="FangSong"/>
          <w:sz w:val="35"/>
          <w:szCs w:val="35"/>
          <w:spacing w:val="3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22"/>
        </w:rPr>
        <w:t>公厅关于进一步规范和加强推荐优秀应届本科毕业生免试攻读</w:t>
      </w:r>
      <w:r>
        <w:rPr>
          <w:rFonts w:ascii="FangSong" w:hAnsi="FangSong" w:eastAsia="FangSong" w:cs="FangSong"/>
          <w:sz w:val="35"/>
          <w:szCs w:val="35"/>
          <w:spacing w:val="2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19"/>
        </w:rPr>
        <w:t>研究生工作的通知》(教学厅〔2020〕12号)等文件规定，结合</w:t>
      </w:r>
      <w:r>
        <w:rPr>
          <w:rFonts w:ascii="FangSong" w:hAnsi="FangSong" w:eastAsia="FangSong" w:cs="FangSong"/>
          <w:sz w:val="35"/>
          <w:szCs w:val="35"/>
          <w:spacing w:val="6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3"/>
        </w:rPr>
        <w:t>我校实际，特制定本办法。</w:t>
      </w:r>
    </w:p>
    <w:p>
      <w:pPr>
        <w:ind w:left="29" w:right="17" w:firstLine="640"/>
        <w:spacing w:before="164" w:line="296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spacing w:val="-14"/>
        </w:rPr>
        <w:t>第二条</w:t>
      </w:r>
      <w:r>
        <w:rPr>
          <w:rFonts w:ascii="SimHei" w:hAnsi="SimHei" w:eastAsia="SimHei" w:cs="SimHei"/>
          <w:sz w:val="33"/>
          <w:szCs w:val="33"/>
          <w:spacing w:val="-14"/>
        </w:rPr>
        <w:t xml:space="preserve">  </w:t>
      </w:r>
      <w:r>
        <w:rPr>
          <w:rFonts w:ascii="FangSong" w:hAnsi="FangSong" w:eastAsia="FangSong" w:cs="FangSong"/>
          <w:sz w:val="33"/>
          <w:szCs w:val="33"/>
          <w:spacing w:val="-14"/>
        </w:rPr>
        <w:t>本办法所称的“免试”是指普通高校应届本科毕业</w:t>
      </w:r>
      <w:r>
        <w:rPr>
          <w:rFonts w:ascii="FangSong" w:hAnsi="FangSong" w:eastAsia="FangSong" w:cs="FangSong"/>
          <w:sz w:val="33"/>
          <w:szCs w:val="33"/>
          <w:spacing w:val="7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"/>
        </w:rPr>
        <w:t>生不必经过全国硕士研究生入学统一考试的初试，直接进入复</w:t>
      </w:r>
      <w:r>
        <w:rPr>
          <w:rFonts w:ascii="FangSong" w:hAnsi="FangSong" w:eastAsia="FangSong" w:cs="FangSong"/>
          <w:sz w:val="33"/>
          <w:szCs w:val="33"/>
          <w:spacing w:val="11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4"/>
        </w:rPr>
        <w:t>试；本办法所称的“推荐”是指按照教育部有关规定，对纳</w:t>
      </w:r>
      <w:r>
        <w:rPr>
          <w:rFonts w:ascii="FangSong" w:hAnsi="FangSong" w:eastAsia="FangSong" w:cs="FangSong"/>
          <w:sz w:val="33"/>
          <w:szCs w:val="33"/>
          <w:spacing w:val="-25"/>
        </w:rPr>
        <w:t>入国家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3"/>
        </w:rPr>
        <w:t>普通全日制本科招生计划录取的应届毕业生通过</w:t>
      </w:r>
      <w:r>
        <w:rPr>
          <w:rFonts w:ascii="FangSong" w:hAnsi="FangSong" w:eastAsia="FangSong" w:cs="FangSong"/>
          <w:sz w:val="33"/>
          <w:szCs w:val="33"/>
          <w:spacing w:val="-4"/>
        </w:rPr>
        <w:t>严格的遴选程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2"/>
        </w:rPr>
        <w:t>序，确认其具有免初试资格并向招生单位推荐。</w:t>
      </w:r>
    </w:p>
    <w:p>
      <w:pPr>
        <w:ind w:left="29" w:firstLine="640"/>
        <w:spacing w:before="185" w:line="275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第三条</w:t>
      </w:r>
      <w:r>
        <w:rPr>
          <w:rFonts w:ascii="SimHei" w:hAnsi="SimHei" w:eastAsia="SimHei" w:cs="SimHei"/>
          <w:sz w:val="32"/>
          <w:szCs w:val="32"/>
          <w:spacing w:val="-3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-3"/>
        </w:rPr>
        <w:t>推免工作遵循公开、公平、公正原则，明确推荐标</w:t>
      </w:r>
      <w:r>
        <w:rPr>
          <w:rFonts w:ascii="FangSong" w:hAnsi="FangSong" w:eastAsia="FangSong" w:cs="FangSong"/>
          <w:sz w:val="32"/>
          <w:szCs w:val="32"/>
          <w:spacing w:val="9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4"/>
        </w:rPr>
        <w:t>准，严格工作程序，健全监督制度。</w:t>
      </w:r>
    </w:p>
    <w:p>
      <w:pPr>
        <w:spacing w:before="149" w:line="220" w:lineRule="auto"/>
        <w:jc w:val="right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spacing w:val="-33"/>
        </w:rPr>
        <w:t>第四条</w:t>
      </w:r>
      <w:r>
        <w:rPr>
          <w:rFonts w:ascii="SimHei" w:hAnsi="SimHei" w:eastAsia="SimHei" w:cs="SimHei"/>
          <w:sz w:val="35"/>
          <w:szCs w:val="35"/>
          <w:spacing w:val="-33"/>
        </w:rPr>
        <w:t xml:space="preserve">  </w:t>
      </w:r>
      <w:r>
        <w:rPr>
          <w:rFonts w:ascii="FangSong" w:hAnsi="FangSong" w:eastAsia="FangSong" w:cs="FangSong"/>
          <w:sz w:val="35"/>
          <w:szCs w:val="35"/>
          <w:spacing w:val="-33"/>
        </w:rPr>
        <w:t>推免工作坚</w:t>
      </w:r>
      <w:r>
        <w:rPr>
          <w:rFonts w:ascii="FangSong" w:hAnsi="FangSong" w:eastAsia="FangSong" w:cs="FangSong"/>
          <w:sz w:val="35"/>
          <w:szCs w:val="35"/>
          <w:spacing w:val="-32"/>
        </w:rPr>
        <w:t>持德智体美劳全面衡量、以德为先、</w:t>
      </w:r>
      <w:r>
        <w:rPr>
          <w:rFonts w:ascii="FangSong" w:hAnsi="FangSong" w:eastAsia="FangSong" w:cs="FangSong"/>
          <w:sz w:val="35"/>
          <w:szCs w:val="35"/>
          <w:spacing w:val="-22"/>
        </w:rPr>
        <w:t>择</w:t>
      </w:r>
    </w:p>
    <w:p>
      <w:pPr>
        <w:spacing w:line="220" w:lineRule="auto"/>
        <w:sectPr>
          <w:footerReference w:type="default" r:id="rId3"/>
          <w:pgSz w:w="11910" w:h="16840"/>
          <w:pgMar w:top="1431" w:right="1520" w:bottom="1644" w:left="1470" w:header="0" w:footer="1318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pStyle w:val="BodyText"/>
        <w:spacing w:line="325" w:lineRule="auto"/>
        <w:rPr/>
      </w:pPr>
      <w:r/>
    </w:p>
    <w:p>
      <w:pPr>
        <w:pStyle w:val="BodyText"/>
        <w:spacing w:line="326" w:lineRule="auto"/>
        <w:rPr/>
      </w:pPr>
      <w:r/>
    </w:p>
    <w:p>
      <w:pPr>
        <w:ind w:right="146"/>
        <w:spacing w:before="114" w:line="291" w:lineRule="auto"/>
        <w:jc w:val="both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-33"/>
        </w:rPr>
        <w:t>优选拔的原则，坚持突出考查学生一贯学业表现，将本科阶段学</w:t>
      </w:r>
      <w:r>
        <w:rPr>
          <w:rFonts w:ascii="FangSong" w:hAnsi="FangSong" w:eastAsia="FangSong" w:cs="FangSong"/>
          <w:sz w:val="35"/>
          <w:szCs w:val="35"/>
          <w:spacing w:val="1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3"/>
        </w:rPr>
        <w:t>业成绩作为重点，注重学生创新能力、科研</w:t>
      </w:r>
      <w:r>
        <w:rPr>
          <w:rFonts w:ascii="FangSong" w:hAnsi="FangSong" w:eastAsia="FangSong" w:cs="FangSong"/>
          <w:sz w:val="35"/>
          <w:szCs w:val="35"/>
          <w:spacing w:val="-34"/>
        </w:rPr>
        <w:t>潜质及专业特长等全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2"/>
        </w:rPr>
        <w:t>方面考核。</w:t>
      </w:r>
    </w:p>
    <w:p>
      <w:pPr>
        <w:ind w:left="3154"/>
        <w:spacing w:before="201" w:line="219" w:lineRule="auto"/>
        <w:outlineLvl w:val="1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b/>
          <w:bCs/>
          <w:spacing w:val="-26"/>
        </w:rPr>
        <w:t>第二章</w:t>
      </w:r>
      <w:r>
        <w:rPr>
          <w:rFonts w:ascii="SimSun" w:hAnsi="SimSun" w:eastAsia="SimSun" w:cs="SimSun"/>
          <w:sz w:val="35"/>
          <w:szCs w:val="35"/>
          <w:spacing w:val="134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-26"/>
        </w:rPr>
        <w:t>组织领导</w:t>
      </w:r>
    </w:p>
    <w:p>
      <w:pPr>
        <w:pStyle w:val="BodyText"/>
        <w:spacing w:line="248" w:lineRule="auto"/>
        <w:rPr/>
      </w:pPr>
      <w:r/>
    </w:p>
    <w:p>
      <w:pPr>
        <w:ind w:right="140" w:firstLine="649"/>
        <w:spacing w:before="107" w:line="298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spacing w:val="-7"/>
        </w:rPr>
        <w:t>第五条</w:t>
      </w:r>
      <w:r>
        <w:rPr>
          <w:rFonts w:ascii="SimHei" w:hAnsi="SimHei" w:eastAsia="SimHei" w:cs="SimHei"/>
          <w:sz w:val="33"/>
          <w:szCs w:val="33"/>
          <w:spacing w:val="-7"/>
        </w:rPr>
        <w:t xml:space="preserve">  </w:t>
      </w:r>
      <w:r>
        <w:rPr>
          <w:rFonts w:ascii="FangSong" w:hAnsi="FangSong" w:eastAsia="FangSong" w:cs="FangSong"/>
          <w:sz w:val="33"/>
          <w:szCs w:val="33"/>
          <w:spacing w:val="-7"/>
        </w:rPr>
        <w:t>学校成立推免生遴选工作领导小组(以下简称“学</w:t>
      </w:r>
      <w:r>
        <w:rPr>
          <w:rFonts w:ascii="FangSong" w:hAnsi="FangSong" w:eastAsia="FangSong" w:cs="FangSong"/>
          <w:sz w:val="33"/>
          <w:szCs w:val="33"/>
          <w:spacing w:val="2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2"/>
        </w:rPr>
        <w:t>校推免工作领导小组”),由校长担任组长，</w:t>
      </w:r>
      <w:r>
        <w:rPr>
          <w:rFonts w:ascii="FangSong" w:hAnsi="FangSong" w:eastAsia="FangSong" w:cs="FangSong"/>
          <w:sz w:val="33"/>
          <w:szCs w:val="33"/>
          <w:spacing w:val="-13"/>
        </w:rPr>
        <w:t>分管本科教育工作和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"/>
        </w:rPr>
        <w:t>研究生教育工作的校领导任副组长，纪委(监察专员办公室)、</w:t>
      </w:r>
      <w:r>
        <w:rPr>
          <w:rFonts w:ascii="FangSong" w:hAnsi="FangSong" w:eastAsia="FangSong" w:cs="FangSong"/>
          <w:sz w:val="33"/>
          <w:szCs w:val="33"/>
          <w:spacing w:val="1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3"/>
        </w:rPr>
        <w:t>教务处、研究生院、学生工作处、校团委、招生与就业指导处等</w:t>
      </w:r>
      <w:r>
        <w:rPr>
          <w:rFonts w:ascii="FangSong" w:hAnsi="FangSong" w:eastAsia="FangSong" w:cs="FangSong"/>
          <w:sz w:val="33"/>
          <w:szCs w:val="33"/>
          <w:spacing w:val="2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3"/>
        </w:rPr>
        <w:t>职能部门主要负责人及专家教授代表为小组成员</w:t>
      </w:r>
      <w:r>
        <w:rPr>
          <w:rFonts w:ascii="FangSong" w:hAnsi="FangSong" w:eastAsia="FangSong" w:cs="FangSong"/>
          <w:sz w:val="33"/>
          <w:szCs w:val="33"/>
          <w:spacing w:val="-14"/>
        </w:rPr>
        <w:t>，全面负责学校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4"/>
        </w:rPr>
        <w:t>推免生遴选推荐工作的组织领导、检查监督、指导协调。领导小</w:t>
      </w:r>
      <w:r>
        <w:rPr>
          <w:rFonts w:ascii="FangSong" w:hAnsi="FangSong" w:eastAsia="FangSong" w:cs="FangSong"/>
          <w:sz w:val="33"/>
          <w:szCs w:val="33"/>
          <w:spacing w:val="1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3"/>
        </w:rPr>
        <w:t>组下设办公室，办公室设在教务处，办公室主</w:t>
      </w:r>
      <w:r>
        <w:rPr>
          <w:rFonts w:ascii="FangSong" w:hAnsi="FangSong" w:eastAsia="FangSong" w:cs="FangSong"/>
          <w:sz w:val="33"/>
          <w:szCs w:val="33"/>
          <w:spacing w:val="-14"/>
        </w:rPr>
        <w:t>任由教务处负责人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6"/>
        </w:rPr>
        <w:t>担任。</w:t>
      </w:r>
    </w:p>
    <w:p>
      <w:pPr>
        <w:ind w:left="59" w:right="120" w:firstLine="610"/>
        <w:spacing w:before="196" w:line="277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color w:val="707070"/>
          <w:spacing w:val="-19"/>
        </w:rPr>
        <w:t>第六条</w:t>
      </w:r>
      <w:r>
        <w:rPr>
          <w:rFonts w:ascii="SimHei" w:hAnsi="SimHei" w:eastAsia="SimHei" w:cs="SimHei"/>
          <w:sz w:val="35"/>
          <w:szCs w:val="35"/>
          <w:color w:val="707070"/>
          <w:spacing w:val="127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19"/>
        </w:rPr>
        <w:t>各学院(部)成立推免工作小组，具体负责本学院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9"/>
        </w:rPr>
        <w:t>(部)推免生工作的实施，由学院(部)主要负责人</w:t>
      </w:r>
      <w:r>
        <w:rPr>
          <w:rFonts w:ascii="FangSong" w:hAnsi="FangSong" w:eastAsia="FangSong" w:cs="FangSong"/>
          <w:sz w:val="35"/>
          <w:szCs w:val="35"/>
          <w:spacing w:val="-10"/>
        </w:rPr>
        <w:t>任组长，成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5"/>
        </w:rPr>
        <w:t>员由本单位相关人员和教师代表等组成，小组成员人数一般应为</w:t>
      </w:r>
      <w:r>
        <w:rPr>
          <w:rFonts w:ascii="FangSong" w:hAnsi="FangSong" w:eastAsia="FangSong" w:cs="FangSong"/>
          <w:sz w:val="35"/>
          <w:szCs w:val="35"/>
          <w:spacing w:val="16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16"/>
        </w:rPr>
        <w:t>不少于5人的单数。</w:t>
      </w:r>
    </w:p>
    <w:p>
      <w:pPr>
        <w:ind w:left="2224"/>
        <w:spacing w:before="339" w:line="219" w:lineRule="auto"/>
        <w:outlineLvl w:val="1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b/>
          <w:bCs/>
          <w:spacing w:val="-29"/>
        </w:rPr>
        <w:t>第三章</w:t>
      </w:r>
      <w:r>
        <w:rPr>
          <w:rFonts w:ascii="SimSun" w:hAnsi="SimSun" w:eastAsia="SimSun" w:cs="SimSun"/>
          <w:sz w:val="35"/>
          <w:szCs w:val="35"/>
          <w:spacing w:val="135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-29"/>
        </w:rPr>
        <w:t>推免生类别及推荐条件</w:t>
      </w:r>
    </w:p>
    <w:p>
      <w:pPr>
        <w:ind w:left="59" w:firstLine="650"/>
        <w:spacing w:before="329" w:line="27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spacing w:val="-33"/>
        </w:rPr>
        <w:t>第七条</w:t>
      </w:r>
      <w:r>
        <w:rPr>
          <w:rFonts w:ascii="SimHei" w:hAnsi="SimHei" w:eastAsia="SimHei" w:cs="SimHei"/>
          <w:sz w:val="35"/>
          <w:szCs w:val="35"/>
          <w:spacing w:val="-33"/>
        </w:rPr>
        <w:t xml:space="preserve">  </w:t>
      </w:r>
      <w:r>
        <w:rPr>
          <w:rFonts w:ascii="FangSong" w:hAnsi="FangSong" w:eastAsia="FangSong" w:cs="FangSong"/>
          <w:sz w:val="35"/>
          <w:szCs w:val="35"/>
          <w:spacing w:val="-33"/>
        </w:rPr>
        <w:t>我校推免生分为普通推免生、应征入伍立功退役复</w:t>
      </w:r>
      <w:r>
        <w:rPr>
          <w:rFonts w:ascii="FangSong" w:hAnsi="FangSong" w:eastAsia="FangSong" w:cs="FangSong"/>
          <w:sz w:val="35"/>
          <w:szCs w:val="35"/>
          <w:spacing w:val="3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4"/>
        </w:rPr>
        <w:t>学计划推免生。经上级主管部门批准或按照上级主管部门要求经</w:t>
      </w:r>
      <w:r>
        <w:rPr>
          <w:rFonts w:ascii="FangSong" w:hAnsi="FangSong" w:eastAsia="FangSong" w:cs="FangSong"/>
          <w:sz w:val="35"/>
          <w:szCs w:val="35"/>
          <w:spacing w:val="13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41"/>
        </w:rPr>
        <w:t>学校同意于当年实施的其他计划推免生，</w:t>
      </w:r>
      <w:r>
        <w:rPr>
          <w:rFonts w:ascii="FangSong" w:hAnsi="FangSong" w:eastAsia="FangSong" w:cs="FangSong"/>
          <w:sz w:val="35"/>
          <w:szCs w:val="35"/>
          <w:color w:val="707070"/>
          <w:spacing w:val="-41"/>
        </w:rPr>
        <w:t>按照相关文件要求执行。</w:t>
      </w:r>
    </w:p>
    <w:p>
      <w:pPr>
        <w:ind w:left="709"/>
        <w:spacing w:before="174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spacing w:val="-13"/>
        </w:rPr>
        <w:t>第八条</w:t>
      </w:r>
      <w:r>
        <w:rPr>
          <w:rFonts w:ascii="SimHei" w:hAnsi="SimHei" w:eastAsia="SimHei" w:cs="SimHei"/>
          <w:sz w:val="33"/>
          <w:szCs w:val="33"/>
          <w:spacing w:val="-13"/>
        </w:rPr>
        <w:t xml:space="preserve">  </w:t>
      </w:r>
      <w:r>
        <w:rPr>
          <w:rFonts w:ascii="FangSong" w:hAnsi="FangSong" w:eastAsia="FangSong" w:cs="FangSong"/>
          <w:sz w:val="33"/>
          <w:szCs w:val="33"/>
          <w:spacing w:val="-13"/>
        </w:rPr>
        <w:t>推免生应具备以下基本条件：</w:t>
      </w:r>
    </w:p>
    <w:p>
      <w:pPr>
        <w:spacing w:line="222" w:lineRule="auto"/>
        <w:sectPr>
          <w:footerReference w:type="default" r:id="rId4"/>
          <w:pgSz w:w="11910" w:h="16840"/>
          <w:pgMar w:top="1431" w:right="1435" w:bottom="1747" w:left="1450" w:header="0" w:footer="1449" w:gutter="0"/>
        </w:sectPr>
        <w:rPr>
          <w:rFonts w:ascii="FangSong" w:hAnsi="FangSong" w:eastAsia="FangSong" w:cs="FangSong"/>
          <w:sz w:val="33"/>
          <w:szCs w:val="33"/>
        </w:rPr>
      </w:pPr>
    </w:p>
    <w:p>
      <w:pPr>
        <w:pStyle w:val="BodyText"/>
        <w:spacing w:line="327" w:lineRule="auto"/>
        <w:rPr/>
      </w:pPr>
      <w:r/>
    </w:p>
    <w:p>
      <w:pPr>
        <w:pStyle w:val="BodyText"/>
        <w:spacing w:line="327" w:lineRule="auto"/>
        <w:rPr/>
      </w:pPr>
      <w:r/>
    </w:p>
    <w:p>
      <w:pPr>
        <w:ind w:right="114" w:firstLine="799"/>
        <w:spacing w:before="108" w:line="268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7"/>
        </w:rPr>
        <w:t>(一)我校纳入国家普通本科招生计划录取的应届本科毕业</w:t>
      </w:r>
      <w:r>
        <w:rPr>
          <w:rFonts w:ascii="FangSong" w:hAnsi="FangSong" w:eastAsia="FangSong" w:cs="FangSong"/>
          <w:sz w:val="33"/>
          <w:szCs w:val="33"/>
          <w:spacing w:val="2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4"/>
        </w:rPr>
        <w:t>生(不含专升本、第二学士学位)。</w:t>
      </w:r>
    </w:p>
    <w:p>
      <w:pPr>
        <w:ind w:right="41" w:firstLine="799"/>
        <w:spacing w:before="163" w:line="271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4"/>
        </w:rPr>
        <w:t>(二)拥护中国共产党的领导，政治立场坚定，遵纪守</w:t>
      </w:r>
      <w:r>
        <w:rPr>
          <w:rFonts w:ascii="FangSong" w:hAnsi="FangSong" w:eastAsia="FangSong" w:cs="FangSong"/>
          <w:sz w:val="33"/>
          <w:szCs w:val="33"/>
          <w:spacing w:val="-5"/>
        </w:rPr>
        <w:t>法，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2"/>
        </w:rPr>
        <w:t>积极向上，身心健康，思想品德考核合格。</w:t>
      </w:r>
    </w:p>
    <w:p>
      <w:pPr>
        <w:ind w:firstLine="799"/>
        <w:spacing w:before="181" w:line="275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5"/>
        </w:rPr>
        <w:t>(三)勤奋学习，刻苦钻研，成绩优秀；学术研究兴趣浓厚，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有较强的创新意识、创新能力和专业能力倾向。其中：</w:t>
      </w:r>
    </w:p>
    <w:p>
      <w:pPr>
        <w:ind w:right="66" w:firstLine="659"/>
        <w:spacing w:before="164" w:line="288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16"/>
        </w:rPr>
        <w:t>1.  </w:t>
      </w:r>
      <w:r>
        <w:rPr>
          <w:rFonts w:ascii="FangSong" w:hAnsi="FangSong" w:eastAsia="FangSong" w:cs="FangSong"/>
          <w:sz w:val="32"/>
          <w:szCs w:val="32"/>
          <w:spacing w:val="16"/>
        </w:rPr>
        <w:t>已获得第1-6学期(五年制为1-8学期)修读课程学分，</w:t>
      </w:r>
      <w:r>
        <w:rPr>
          <w:rFonts w:ascii="FangSong" w:hAnsi="FangSong" w:eastAsia="FangSong" w:cs="FangSong"/>
          <w:sz w:val="32"/>
          <w:szCs w:val="32"/>
          <w:spacing w:val="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8"/>
        </w:rPr>
        <w:t>修读的所有课程(不含辅修、微专业课程)无不及格记录，且修</w:t>
      </w:r>
      <w:r>
        <w:rPr>
          <w:rFonts w:ascii="FangSong" w:hAnsi="FangSong" w:eastAsia="FangSong" w:cs="FangSong"/>
          <w:sz w:val="32"/>
          <w:szCs w:val="32"/>
          <w:spacing w:val="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5"/>
        </w:rPr>
        <w:t>读的所有课程加权平均成绩排名在本专业全部学生的前40%。</w:t>
      </w:r>
    </w:p>
    <w:p>
      <w:pPr>
        <w:ind w:right="79" w:firstLine="639"/>
        <w:spacing w:before="190" w:line="28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Times New Roman" w:hAnsi="Times New Roman" w:eastAsia="Times New Roman" w:cs="Times New Roman"/>
          <w:sz w:val="35"/>
          <w:szCs w:val="35"/>
          <w:spacing w:val="-21"/>
        </w:rPr>
        <w:t>2.</w:t>
      </w:r>
      <w:r>
        <w:rPr>
          <w:rFonts w:ascii="Times New Roman" w:hAnsi="Times New Roman" w:eastAsia="Times New Roman" w:cs="Times New Roman"/>
          <w:sz w:val="35"/>
          <w:szCs w:val="35"/>
          <w:spacing w:val="68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21"/>
        </w:rPr>
        <w:t>非外语类专业学生的全国大学英语四级考</w:t>
      </w:r>
      <w:r>
        <w:rPr>
          <w:rFonts w:ascii="FangSong" w:hAnsi="FangSong" w:eastAsia="FangSong" w:cs="FangSong"/>
          <w:sz w:val="35"/>
          <w:szCs w:val="35"/>
          <w:spacing w:val="-22"/>
        </w:rPr>
        <w:t>试成绩不低于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"/>
        </w:rPr>
        <w:t>450分或者六级考试成绩不低于425分(710分制),</w:t>
      </w:r>
      <w:r>
        <w:rPr>
          <w:rFonts w:ascii="FangSong" w:hAnsi="FangSong" w:eastAsia="FangSong" w:cs="FangSong"/>
          <w:sz w:val="35"/>
          <w:szCs w:val="35"/>
          <w:spacing w:val="-4"/>
        </w:rPr>
        <w:t>或</w:t>
      </w:r>
      <w:r>
        <w:rPr>
          <w:rFonts w:ascii="FangSong" w:hAnsi="FangSong" w:eastAsia="FangSong" w:cs="FangSong"/>
          <w:sz w:val="35"/>
          <w:szCs w:val="35"/>
          <w:spacing w:val="-4"/>
        </w:rPr>
        <w:t xml:space="preserve"> </w:t>
      </w:r>
      <w:r>
        <w:rPr>
          <w:rFonts w:ascii="Times New Roman" w:hAnsi="Times New Roman" w:eastAsia="Times New Roman" w:cs="Times New Roman"/>
          <w:sz w:val="35"/>
          <w:szCs w:val="35"/>
          <w:spacing w:val="-4"/>
        </w:rPr>
        <w:t>TOEFL</w:t>
      </w:r>
      <w:r>
        <w:rPr>
          <w:rFonts w:ascii="Times New Roman" w:hAnsi="Times New Roman" w:eastAsia="Times New Roman" w:cs="Times New Roman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7"/>
        </w:rPr>
        <w:t>成绩不低于90分，或雅思成绩(</w:t>
      </w:r>
      <w:r>
        <w:rPr>
          <w:rFonts w:ascii="FangSong" w:hAnsi="FangSong" w:eastAsia="FangSong" w:cs="FangSong"/>
          <w:sz w:val="35"/>
          <w:szCs w:val="35"/>
          <w:spacing w:val="-79"/>
        </w:rPr>
        <w:t xml:space="preserve"> </w:t>
      </w:r>
      <w:r>
        <w:rPr>
          <w:rFonts w:ascii="Times New Roman" w:hAnsi="Times New Roman" w:eastAsia="Times New Roman" w:cs="Times New Roman"/>
          <w:sz w:val="35"/>
          <w:szCs w:val="35"/>
          <w:spacing w:val="-7"/>
        </w:rPr>
        <w:t>A</w:t>
      </w:r>
      <w:r>
        <w:rPr>
          <w:rFonts w:ascii="Times New Roman" w:hAnsi="Times New Roman" w:eastAsia="Times New Roman" w:cs="Times New Roman"/>
          <w:sz w:val="35"/>
          <w:szCs w:val="35"/>
          <w:spacing w:val="43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7"/>
        </w:rPr>
        <w:t>类)不低于6.5分；外语类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4"/>
        </w:rPr>
        <w:t>专业学生的专业四级考试需合格；艺术、体育类学生的全国大学</w:t>
      </w:r>
      <w:r>
        <w:rPr>
          <w:rFonts w:ascii="FangSong" w:hAnsi="FangSong" w:eastAsia="FangSong" w:cs="FangSong"/>
          <w:sz w:val="35"/>
          <w:szCs w:val="35"/>
          <w:spacing w:val="9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5"/>
        </w:rPr>
        <w:t>英语四级考试成绩不低于425分(710分制),</w:t>
      </w:r>
      <w:r>
        <w:rPr>
          <w:rFonts w:ascii="FangSong" w:hAnsi="FangSong" w:eastAsia="FangSong" w:cs="FangSong"/>
          <w:sz w:val="35"/>
          <w:szCs w:val="35"/>
          <w:spacing w:val="-6"/>
        </w:rPr>
        <w:t>或</w:t>
      </w:r>
      <w:r>
        <w:rPr>
          <w:rFonts w:ascii="Times New Roman" w:hAnsi="Times New Roman" w:eastAsia="Times New Roman" w:cs="Times New Roman"/>
          <w:sz w:val="35"/>
          <w:szCs w:val="35"/>
          <w:spacing w:val="-6"/>
        </w:rPr>
        <w:t>TOEFL</w:t>
      </w:r>
      <w:r>
        <w:rPr>
          <w:rFonts w:ascii="Times New Roman" w:hAnsi="Times New Roman" w:eastAsia="Times New Roman" w:cs="Times New Roman"/>
          <w:sz w:val="35"/>
          <w:szCs w:val="35"/>
          <w:spacing w:val="-24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6"/>
        </w:rPr>
        <w:t>成绩不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7"/>
        </w:rPr>
        <w:t>低于80分，或雅思成绩</w:t>
      </w:r>
      <w:r>
        <w:rPr>
          <w:rFonts w:ascii="FangSong" w:hAnsi="FangSong" w:eastAsia="FangSong" w:cs="FangSong"/>
          <w:sz w:val="35"/>
          <w:szCs w:val="35"/>
          <w:spacing w:val="-79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7"/>
        </w:rPr>
        <w:t>(</w:t>
      </w:r>
      <w:r>
        <w:rPr>
          <w:rFonts w:ascii="Times New Roman" w:hAnsi="Times New Roman" w:eastAsia="Times New Roman" w:cs="Times New Roman"/>
          <w:sz w:val="35"/>
          <w:szCs w:val="35"/>
          <w:spacing w:val="-7"/>
        </w:rPr>
        <w:t>A</w:t>
      </w:r>
      <w:r>
        <w:rPr>
          <w:rFonts w:ascii="Times New Roman" w:hAnsi="Times New Roman" w:eastAsia="Times New Roman" w:cs="Times New Roman"/>
          <w:sz w:val="35"/>
          <w:szCs w:val="35"/>
          <w:spacing w:val="53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7"/>
        </w:rPr>
        <w:t>类)不低于5</w:t>
      </w:r>
      <w:r>
        <w:rPr>
          <w:rFonts w:ascii="FangSong" w:hAnsi="FangSong" w:eastAsia="FangSong" w:cs="FangSong"/>
          <w:sz w:val="35"/>
          <w:szCs w:val="35"/>
          <w:spacing w:val="-8"/>
        </w:rPr>
        <w:t>.5分。非外语类专业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4"/>
        </w:rPr>
        <w:t>学生大学外语为小语种的，其成绩应达到相应的大学英语四、六</w:t>
      </w:r>
      <w:r>
        <w:rPr>
          <w:rFonts w:ascii="FangSong" w:hAnsi="FangSong" w:eastAsia="FangSong" w:cs="FangSong"/>
          <w:sz w:val="35"/>
          <w:szCs w:val="35"/>
          <w:spacing w:val="8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6"/>
        </w:rPr>
        <w:t>级考试成绩要求。</w:t>
      </w:r>
    </w:p>
    <w:p>
      <w:pPr>
        <w:ind w:right="83" w:firstLine="799"/>
        <w:spacing w:before="234" w:line="267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6"/>
        </w:rPr>
        <w:t>(四)诚实守信，学风端正，无任何考试作弊和学术不端行</w:t>
      </w:r>
      <w:r>
        <w:rPr>
          <w:rFonts w:ascii="FangSong" w:hAnsi="FangSong" w:eastAsia="FangSong" w:cs="FangSong"/>
          <w:sz w:val="33"/>
          <w:szCs w:val="33"/>
          <w:spacing w:val="7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0"/>
        </w:rPr>
        <w:t>为记录。</w:t>
      </w:r>
    </w:p>
    <w:p>
      <w:pPr>
        <w:ind w:left="799"/>
        <w:spacing w:before="176" w:line="22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6"/>
        </w:rPr>
        <w:t>(五)品行表现优良，无任何违法违纪受处分记录。</w:t>
      </w:r>
    </w:p>
    <w:p>
      <w:pPr>
        <w:ind w:right="83" w:firstLine="799"/>
        <w:spacing w:before="169" w:line="258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-12"/>
        </w:rPr>
        <w:t>(六)按照《国家学生体质健康标准》测试的前3年(五年</w:t>
      </w:r>
      <w:r>
        <w:rPr>
          <w:rFonts w:ascii="FangSong" w:hAnsi="FangSong" w:eastAsia="FangSong" w:cs="FangSong"/>
          <w:sz w:val="35"/>
          <w:szCs w:val="35"/>
          <w:spacing w:val="13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2"/>
        </w:rPr>
        <w:t>制为前4年)平均成绩为60分及以上(对符合《国家学</w:t>
      </w:r>
      <w:r>
        <w:rPr>
          <w:rFonts w:ascii="FangSong" w:hAnsi="FangSong" w:eastAsia="FangSong" w:cs="FangSong"/>
          <w:sz w:val="35"/>
          <w:szCs w:val="35"/>
          <w:spacing w:val="-3"/>
        </w:rPr>
        <w:t>生体质</w:t>
      </w:r>
    </w:p>
    <w:p>
      <w:pPr>
        <w:spacing w:line="258" w:lineRule="auto"/>
        <w:sectPr>
          <w:footerReference w:type="default" r:id="rId5"/>
          <w:pgSz w:w="11910" w:h="16840"/>
          <w:pgMar w:top="1431" w:right="1453" w:bottom="1655" w:left="1470" w:header="0" w:footer="1411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pStyle w:val="BodyText"/>
        <w:spacing w:line="343" w:lineRule="auto"/>
        <w:rPr/>
      </w:pPr>
      <w:r/>
    </w:p>
    <w:p>
      <w:pPr>
        <w:pStyle w:val="BodyText"/>
        <w:spacing w:line="344" w:lineRule="auto"/>
        <w:rPr/>
      </w:pPr>
      <w:r/>
    </w:p>
    <w:p>
      <w:pPr>
        <w:spacing w:before="104" w:line="22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4"/>
        </w:rPr>
        <w:t>健康标准》中免测条件的学生不作要求)。</w:t>
      </w:r>
    </w:p>
    <w:p>
      <w:pPr>
        <w:ind w:right="70" w:firstLine="639"/>
        <w:spacing w:before="147" w:line="292" w:lineRule="auto"/>
        <w:jc w:val="both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spacing w:val="-30"/>
        </w:rPr>
        <w:t>第九条</w:t>
      </w:r>
      <w:r>
        <w:rPr>
          <w:rFonts w:ascii="SimHei" w:hAnsi="SimHei" w:eastAsia="SimHei" w:cs="SimHei"/>
          <w:sz w:val="35"/>
          <w:szCs w:val="35"/>
          <w:spacing w:val="-30"/>
        </w:rPr>
        <w:t xml:space="preserve">  </w:t>
      </w:r>
      <w:r>
        <w:rPr>
          <w:rFonts w:ascii="FangSong" w:hAnsi="FangSong" w:eastAsia="FangSong" w:cs="FangSong"/>
          <w:sz w:val="35"/>
          <w:szCs w:val="35"/>
          <w:spacing w:val="-30"/>
        </w:rPr>
        <w:t>学校注重对学生本科阶段学习情况的过程性评价，</w:t>
      </w:r>
      <w:r>
        <w:rPr>
          <w:rFonts w:ascii="FangSong" w:hAnsi="FangSong" w:eastAsia="FangSong" w:cs="FangSong"/>
          <w:sz w:val="35"/>
          <w:szCs w:val="35"/>
          <w:spacing w:val="4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4"/>
        </w:rPr>
        <w:t>将本科阶段的学业成绩作为推免工作最基础遴选指标，不专门组</w:t>
      </w:r>
      <w:r>
        <w:rPr>
          <w:rFonts w:ascii="FangSong" w:hAnsi="FangSong" w:eastAsia="FangSong" w:cs="FangSong"/>
          <w:sz w:val="35"/>
          <w:szCs w:val="35"/>
          <w:spacing w:val="3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15"/>
        </w:rPr>
        <w:t>织遴选推免生的考试(包括笔试、面试等),遴选方式为根据申</w:t>
      </w:r>
      <w:r>
        <w:rPr>
          <w:rFonts w:ascii="FangSong" w:hAnsi="FangSong" w:eastAsia="FangSong" w:cs="FangSong"/>
          <w:sz w:val="35"/>
          <w:szCs w:val="35"/>
          <w:spacing w:val="11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29"/>
        </w:rPr>
        <w:t>请学生综合评定成绩，按总成绩由高到低依次推荐。</w:t>
      </w:r>
    </w:p>
    <w:p>
      <w:pPr>
        <w:ind w:right="112" w:firstLine="669"/>
        <w:spacing w:before="32" w:line="314" w:lineRule="auto"/>
        <w:jc w:val="both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14"/>
        </w:rPr>
        <w:t>学生综合评定成绩采取百分制，分为学业成绩评定和素质成</w:t>
      </w:r>
      <w:r>
        <w:rPr>
          <w:rFonts w:ascii="FangSong" w:hAnsi="FangSong" w:eastAsia="FangSong" w:cs="FangSong"/>
          <w:sz w:val="33"/>
          <w:szCs w:val="33"/>
          <w:spacing w:val="5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7"/>
        </w:rPr>
        <w:t>绩评定部分(含特殊学术专长和综合素质部分)。综合评定成绩=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"/>
        </w:rPr>
        <w:t>学业成绩评定总分×85%+特殊学术专长总分×10%</w:t>
      </w:r>
      <w:r>
        <w:rPr>
          <w:rFonts w:ascii="FangSong" w:hAnsi="FangSong" w:eastAsia="FangSong" w:cs="FangSong"/>
          <w:sz w:val="33"/>
          <w:szCs w:val="33"/>
          <w:spacing w:val="-2"/>
        </w:rPr>
        <w:t>+综合素质总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6"/>
        </w:rPr>
        <w:t>分×5%。(最终综合评定成绩相同的先比</w:t>
      </w:r>
      <w:r>
        <w:rPr>
          <w:rFonts w:ascii="FangSong" w:hAnsi="FangSong" w:eastAsia="FangSong" w:cs="FangSong"/>
          <w:sz w:val="33"/>
          <w:szCs w:val="33"/>
          <w:spacing w:val="-7"/>
        </w:rPr>
        <w:t>较学业成绩评定总分，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3"/>
        </w:rPr>
        <w:t>再比较平均学分绩点)</w:t>
      </w:r>
    </w:p>
    <w:p>
      <w:pPr>
        <w:ind w:right="31" w:firstLine="799"/>
        <w:spacing w:line="29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9"/>
        </w:rPr>
        <w:t>(一)学业成绩评定。取学生1-6学期(五</w:t>
      </w:r>
      <w:r>
        <w:rPr>
          <w:rFonts w:ascii="FangSong" w:hAnsi="FangSong" w:eastAsia="FangSong" w:cs="FangSong"/>
          <w:sz w:val="33"/>
          <w:szCs w:val="33"/>
          <w:spacing w:val="8"/>
        </w:rPr>
        <w:t>年制计1-8学期)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"/>
        </w:rPr>
        <w:t>修读所有课程(不含辅修、微专业课程)加权平均成绩，加权平</w:t>
      </w:r>
      <w:r>
        <w:rPr>
          <w:rFonts w:ascii="FangSong" w:hAnsi="FangSong" w:eastAsia="FangSong" w:cs="FangSong"/>
          <w:sz w:val="33"/>
          <w:szCs w:val="33"/>
          <w:spacing w:val="6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6"/>
        </w:rPr>
        <w:t>均成绩=</w:t>
      </w:r>
      <w:r>
        <w:rPr>
          <w:rFonts w:ascii="FangSong" w:hAnsi="FangSong" w:eastAsia="FangSong" w:cs="FangSong"/>
          <w:sz w:val="33"/>
          <w:szCs w:val="33"/>
          <w:spacing w:val="-115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6"/>
        </w:rPr>
        <w:t>∑</w:t>
      </w:r>
      <w:r>
        <w:rPr>
          <w:rFonts w:ascii="FangSong" w:hAnsi="FangSong" w:eastAsia="FangSong" w:cs="FangSong"/>
          <w:sz w:val="33"/>
          <w:szCs w:val="33"/>
          <w:spacing w:val="-96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6"/>
        </w:rPr>
        <w:t>(课程成绩×课程学分)/课程学分。成</w:t>
      </w:r>
      <w:r>
        <w:rPr>
          <w:rFonts w:ascii="FangSong" w:hAnsi="FangSong" w:eastAsia="FangSong" w:cs="FangSong"/>
          <w:sz w:val="33"/>
          <w:szCs w:val="33"/>
          <w:spacing w:val="-7"/>
        </w:rPr>
        <w:t>绩以教务管理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5"/>
        </w:rPr>
        <w:t>系统记录的初修成绩为准。</w:t>
      </w:r>
    </w:p>
    <w:p>
      <w:pPr>
        <w:ind w:firstLine="799"/>
        <w:spacing w:before="156" w:line="281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-18"/>
        </w:rPr>
        <w:t>(二)素质成绩评定。将学生特殊学术专长(学科竞赛、论</w:t>
      </w:r>
      <w:r>
        <w:rPr>
          <w:rFonts w:ascii="FangSong" w:hAnsi="FangSong" w:eastAsia="FangSong" w:cs="FangSong"/>
          <w:sz w:val="35"/>
          <w:szCs w:val="35"/>
          <w:spacing w:val="18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21"/>
        </w:rPr>
        <w:t>文)和综合素质(参军入伍服兵役、参加志</w:t>
      </w:r>
      <w:r>
        <w:rPr>
          <w:rFonts w:ascii="FangSong" w:hAnsi="FangSong" w:eastAsia="FangSong" w:cs="FangSong"/>
          <w:sz w:val="35"/>
          <w:szCs w:val="35"/>
          <w:spacing w:val="-22"/>
        </w:rPr>
        <w:t>愿服务和到国际组织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16"/>
        </w:rPr>
        <w:t>实习)等符合全面发展价值导向的因素纳入推免生遴选指标体</w:t>
      </w:r>
      <w:r>
        <w:rPr>
          <w:rFonts w:ascii="FangSong" w:hAnsi="FangSong" w:eastAsia="FangSong" w:cs="FangSong"/>
          <w:sz w:val="35"/>
          <w:szCs w:val="35"/>
          <w:spacing w:val="8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4"/>
        </w:rPr>
        <w:t>系，综合评价学生的各方面表现，形成最终的素质成绩评定总分</w:t>
      </w:r>
      <w:r>
        <w:rPr>
          <w:rFonts w:ascii="FangSong" w:hAnsi="FangSong" w:eastAsia="FangSong" w:cs="FangSong"/>
          <w:sz w:val="35"/>
          <w:szCs w:val="35"/>
        </w:rPr>
        <w:t xml:space="preserve">  </w:t>
      </w:r>
      <w:r>
        <w:rPr>
          <w:rFonts w:ascii="FangSong" w:hAnsi="FangSong" w:eastAsia="FangSong" w:cs="FangSong"/>
          <w:sz w:val="35"/>
          <w:szCs w:val="35"/>
          <w:spacing w:val="-28"/>
        </w:rPr>
        <w:t>(具体评定细则见附件)。学生在某一方面中有多项加分情况时，</w:t>
      </w:r>
      <w:r>
        <w:rPr>
          <w:rFonts w:ascii="FangSong" w:hAnsi="FangSong" w:eastAsia="FangSong" w:cs="FangSong"/>
          <w:sz w:val="35"/>
          <w:szCs w:val="35"/>
          <w:spacing w:val="1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4"/>
        </w:rPr>
        <w:t>原则上只取一项，不得为仅符合单一或部分遴选指标的学生单列</w:t>
      </w:r>
      <w:r>
        <w:rPr>
          <w:rFonts w:ascii="FangSong" w:hAnsi="FangSong" w:eastAsia="FangSong" w:cs="FangSong"/>
          <w:sz w:val="35"/>
          <w:szCs w:val="35"/>
          <w:spacing w:val="6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4"/>
        </w:rPr>
        <w:t>计划或破格推荐。</w:t>
      </w:r>
    </w:p>
    <w:p>
      <w:pPr>
        <w:ind w:left="679"/>
        <w:spacing w:before="16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spacing w:val="-19"/>
        </w:rPr>
        <w:t>第十条</w:t>
      </w:r>
      <w:r>
        <w:rPr>
          <w:rFonts w:ascii="SimHei" w:hAnsi="SimHei" w:eastAsia="SimHei" w:cs="SimHei"/>
          <w:sz w:val="35"/>
          <w:szCs w:val="35"/>
          <w:spacing w:val="-19"/>
        </w:rPr>
        <w:t xml:space="preserve">  </w:t>
      </w:r>
      <w:r>
        <w:rPr>
          <w:rFonts w:ascii="FangSong" w:hAnsi="FangSong" w:eastAsia="FangSong" w:cs="FangSong"/>
          <w:sz w:val="35"/>
          <w:szCs w:val="35"/>
          <w:spacing w:val="-19"/>
        </w:rPr>
        <w:t>应征入伍立功退役复学计划推免生除满足本办法</w:t>
      </w:r>
    </w:p>
    <w:p>
      <w:pPr>
        <w:spacing w:line="222" w:lineRule="auto"/>
        <w:sectPr>
          <w:footerReference w:type="default" r:id="rId6"/>
          <w:pgSz w:w="11910" w:h="16840"/>
          <w:pgMar w:top="1431" w:right="1444" w:bottom="1764" w:left="1460" w:header="0" w:footer="1440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pStyle w:val="BodyText"/>
        <w:spacing w:line="350" w:lineRule="auto"/>
        <w:rPr/>
      </w:pPr>
      <w:r/>
    </w:p>
    <w:p>
      <w:pPr>
        <w:pStyle w:val="BodyText"/>
        <w:spacing w:line="351" w:lineRule="auto"/>
        <w:rPr/>
      </w:pPr>
      <w:r/>
    </w:p>
    <w:p>
      <w:pPr>
        <w:ind w:left="35"/>
        <w:spacing w:before="104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3"/>
        </w:rPr>
        <w:t>第八条中的基本条件之外，还需满足以下推荐条件：</w:t>
      </w:r>
    </w:p>
    <w:p>
      <w:pPr>
        <w:ind w:right="128" w:firstLine="684"/>
        <w:spacing w:before="127" w:line="316" w:lineRule="auto"/>
        <w:jc w:val="both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2"/>
        </w:rPr>
        <w:t>我校本科生(含录取新生)应征入伍，在部队荣立二等功及</w:t>
      </w:r>
      <w:r>
        <w:rPr>
          <w:rFonts w:ascii="FangSong" w:hAnsi="FangSong" w:eastAsia="FangSong" w:cs="FangSong"/>
          <w:sz w:val="33"/>
          <w:szCs w:val="33"/>
          <w:spacing w:val="17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3"/>
        </w:rPr>
        <w:t>以上奖励的，其退役后回校就读，并能按时毕业者，</w:t>
      </w:r>
      <w:r>
        <w:rPr>
          <w:rFonts w:ascii="FangSong" w:hAnsi="FangSong" w:eastAsia="FangSong" w:cs="FangSong"/>
          <w:sz w:val="33"/>
          <w:szCs w:val="33"/>
          <w:spacing w:val="-14"/>
        </w:rPr>
        <w:t>按《教育部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7"/>
        </w:rPr>
        <w:t>办公厅关于进一步做好高校学生参军入伍工作的通知》(教学厅</w:t>
      </w:r>
      <w:r>
        <w:rPr>
          <w:rFonts w:ascii="FangSong" w:hAnsi="FangSong" w:eastAsia="FangSong" w:cs="FangSong"/>
          <w:sz w:val="33"/>
          <w:szCs w:val="33"/>
          <w:spacing w:val="16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10"/>
        </w:rPr>
        <w:t>〔2015〕3号)执行。</w:t>
      </w:r>
    </w:p>
    <w:p>
      <w:pPr>
        <w:ind w:left="3189"/>
        <w:spacing w:before="203" w:line="219" w:lineRule="auto"/>
        <w:outlineLvl w:val="1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b/>
          <w:bCs/>
          <w:spacing w:val="-18"/>
        </w:rPr>
        <w:t>第四章</w:t>
      </w:r>
      <w:r>
        <w:rPr>
          <w:rFonts w:ascii="SimSun" w:hAnsi="SimSun" w:eastAsia="SimSun" w:cs="SimSun"/>
          <w:sz w:val="34"/>
          <w:szCs w:val="34"/>
          <w:spacing w:val="136"/>
        </w:rPr>
        <w:t xml:space="preserve"> </w:t>
      </w:r>
      <w:r>
        <w:rPr>
          <w:rFonts w:ascii="SimSun" w:hAnsi="SimSun" w:eastAsia="SimSun" w:cs="SimSun"/>
          <w:sz w:val="34"/>
          <w:szCs w:val="34"/>
          <w:b/>
          <w:bCs/>
          <w:spacing w:val="-18"/>
        </w:rPr>
        <w:t>名额分配</w:t>
      </w:r>
    </w:p>
    <w:p>
      <w:pPr>
        <w:pStyle w:val="BodyText"/>
        <w:spacing w:line="276" w:lineRule="auto"/>
        <w:rPr/>
      </w:pPr>
      <w:r/>
    </w:p>
    <w:p>
      <w:pPr>
        <w:ind w:left="35" w:firstLine="649"/>
        <w:spacing w:before="107" w:line="286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spacing w:val="-13"/>
        </w:rPr>
        <w:t>第十一条</w:t>
      </w:r>
      <w:r>
        <w:rPr>
          <w:rFonts w:ascii="SimHei" w:hAnsi="SimHei" w:eastAsia="SimHei" w:cs="SimHei"/>
          <w:sz w:val="33"/>
          <w:szCs w:val="33"/>
          <w:spacing w:val="-13"/>
        </w:rPr>
        <w:t xml:space="preserve">  </w:t>
      </w:r>
      <w:r>
        <w:rPr>
          <w:rFonts w:ascii="FangSong" w:hAnsi="FangSong" w:eastAsia="FangSong" w:cs="FangSong"/>
          <w:sz w:val="33"/>
          <w:szCs w:val="33"/>
          <w:spacing w:val="-13"/>
        </w:rPr>
        <w:t>合理分配推免名额，不断优化分配办法，科学确</w:t>
      </w:r>
      <w:r>
        <w:rPr>
          <w:rFonts w:ascii="FangSong" w:hAnsi="FangSong" w:eastAsia="FangSong" w:cs="FangSong"/>
          <w:sz w:val="33"/>
          <w:szCs w:val="33"/>
          <w:spacing w:val="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0"/>
        </w:rPr>
        <w:t>定学校重点支持范围，名额重点向三个领域倾斜：战略急需领域、</w:t>
      </w:r>
      <w:r>
        <w:rPr>
          <w:rFonts w:ascii="FangSong" w:hAnsi="FangSong" w:eastAsia="FangSong" w:cs="FangSong"/>
          <w:sz w:val="33"/>
          <w:szCs w:val="33"/>
          <w:spacing w:val="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4"/>
        </w:rPr>
        <w:t>一流学科和专业领域、拔尖创新领域。分配方案经学校推免工作</w:t>
      </w:r>
      <w:r>
        <w:rPr>
          <w:rFonts w:ascii="FangSong" w:hAnsi="FangSong" w:eastAsia="FangSong" w:cs="FangSong"/>
          <w:sz w:val="33"/>
          <w:szCs w:val="33"/>
          <w:spacing w:val="8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4"/>
        </w:rPr>
        <w:t>领导小组审定后公布。</w:t>
      </w:r>
    </w:p>
    <w:p>
      <w:pPr>
        <w:ind w:left="35" w:right="102" w:firstLine="649"/>
        <w:spacing w:before="201" w:line="297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9"/>
        </w:rPr>
        <w:t>第十二条</w:t>
      </w:r>
      <w:r>
        <w:rPr>
          <w:rFonts w:ascii="SimHei" w:hAnsi="SimHei" w:eastAsia="SimHei" w:cs="SimHei"/>
          <w:sz w:val="32"/>
          <w:szCs w:val="32"/>
          <w:spacing w:val="8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9"/>
        </w:rPr>
        <w:t>学校各推荐学院(部)实际推荐人数小于所分配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7"/>
        </w:rPr>
        <w:t>的推荐名额，或各推荐学院(部)公示结束后学生放弃推荐资格</w:t>
      </w:r>
      <w:r>
        <w:rPr>
          <w:rFonts w:ascii="FangSong" w:hAnsi="FangSong" w:eastAsia="FangSong" w:cs="FangSong"/>
          <w:sz w:val="32"/>
          <w:szCs w:val="32"/>
          <w:spacing w:val="1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4"/>
        </w:rPr>
        <w:t>的，剩余或空出的名额由学校收回，并由学校推免工作领导小组</w:t>
      </w:r>
      <w:r>
        <w:rPr>
          <w:rFonts w:ascii="FangSong" w:hAnsi="FangSong" w:eastAsia="FangSong" w:cs="FangSong"/>
          <w:sz w:val="32"/>
          <w:szCs w:val="32"/>
          <w:spacing w:val="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2"/>
        </w:rPr>
        <w:t>另行分配。</w:t>
      </w:r>
    </w:p>
    <w:p>
      <w:pPr>
        <w:pStyle w:val="BodyText"/>
        <w:spacing w:line="241" w:lineRule="auto"/>
        <w:rPr/>
      </w:pPr>
      <w:r/>
    </w:p>
    <w:p>
      <w:pPr>
        <w:ind w:left="3189"/>
        <w:spacing w:before="114" w:line="219" w:lineRule="auto"/>
        <w:outlineLvl w:val="1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b/>
          <w:bCs/>
          <w:spacing w:val="-27"/>
        </w:rPr>
        <w:t>第五章</w:t>
      </w:r>
      <w:r>
        <w:rPr>
          <w:rFonts w:ascii="SimSun" w:hAnsi="SimSun" w:eastAsia="SimSun" w:cs="SimSun"/>
          <w:sz w:val="35"/>
          <w:szCs w:val="35"/>
          <w:spacing w:val="140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-27"/>
        </w:rPr>
        <w:t>推荐程序</w:t>
      </w:r>
    </w:p>
    <w:p>
      <w:pPr>
        <w:ind w:left="684"/>
        <w:spacing w:before="345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spacing w:val="-30"/>
        </w:rPr>
        <w:t>第十三条</w:t>
      </w:r>
      <w:r>
        <w:rPr>
          <w:rFonts w:ascii="SimHei" w:hAnsi="SimHei" w:eastAsia="SimHei" w:cs="SimHei"/>
          <w:sz w:val="35"/>
          <w:szCs w:val="35"/>
          <w:spacing w:val="-30"/>
        </w:rPr>
        <w:t xml:space="preserve">  </w:t>
      </w:r>
      <w:r>
        <w:rPr>
          <w:rFonts w:ascii="FangSong" w:hAnsi="FangSong" w:eastAsia="FangSong" w:cs="FangSong"/>
          <w:sz w:val="35"/>
          <w:szCs w:val="35"/>
          <w:spacing w:val="-30"/>
        </w:rPr>
        <w:t>推免工作按照以下程序进行：</w:t>
      </w:r>
    </w:p>
    <w:p>
      <w:pPr>
        <w:ind w:left="35" w:right="83" w:firstLine="789"/>
        <w:spacing w:before="132" w:line="278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-24"/>
        </w:rPr>
        <w:t>(一)学校通过“全国推荐免试攻读研究生信</w:t>
      </w:r>
      <w:r>
        <w:rPr>
          <w:rFonts w:ascii="FangSong" w:hAnsi="FangSong" w:eastAsia="FangSong" w:cs="FangSong"/>
          <w:sz w:val="35"/>
          <w:szCs w:val="35"/>
          <w:spacing w:val="-25"/>
        </w:rPr>
        <w:t>息公开管理服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1"/>
        </w:rPr>
        <w:t>务系统”(简称“推免服务系统”)接收分配到我校的推荐名额，</w:t>
      </w:r>
      <w:r>
        <w:rPr>
          <w:rFonts w:ascii="FangSong" w:hAnsi="FangSong" w:eastAsia="FangSong" w:cs="FangSong"/>
          <w:sz w:val="35"/>
          <w:szCs w:val="35"/>
          <w:spacing w:val="9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4"/>
        </w:rPr>
        <w:t>将推免工作实施细则报省级相关管理部门审核，并按要求向教育</w:t>
      </w:r>
      <w:r>
        <w:rPr>
          <w:rFonts w:ascii="FangSong" w:hAnsi="FangSong" w:eastAsia="FangSong" w:cs="FangSong"/>
          <w:sz w:val="35"/>
          <w:szCs w:val="35"/>
          <w:spacing w:val="8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4"/>
        </w:rPr>
        <w:t>部备案后公布。</w:t>
      </w:r>
    </w:p>
    <w:p>
      <w:pPr>
        <w:ind w:left="835"/>
        <w:spacing w:before="143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-11"/>
        </w:rPr>
        <w:t>(二)推荐学院(部)根据本办法和相关工作要求，研究制</w:t>
      </w:r>
    </w:p>
    <w:p>
      <w:pPr>
        <w:spacing w:line="220" w:lineRule="auto"/>
        <w:sectPr>
          <w:footerReference w:type="default" r:id="rId7"/>
          <w:pgSz w:w="11910" w:h="16840"/>
          <w:pgMar w:top="1431" w:right="1435" w:bottom="1638" w:left="1444" w:header="0" w:footer="1353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pStyle w:val="BodyText"/>
        <w:spacing w:line="324" w:lineRule="auto"/>
        <w:rPr/>
      </w:pPr>
      <w:r/>
    </w:p>
    <w:p>
      <w:pPr>
        <w:pStyle w:val="BodyText"/>
        <w:spacing w:line="325" w:lineRule="auto"/>
        <w:rPr/>
      </w:pPr>
      <w:r/>
    </w:p>
    <w:p>
      <w:pPr>
        <w:ind w:right="55"/>
        <w:spacing w:before="114" w:line="295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-21"/>
        </w:rPr>
        <w:t>定学院(部)的推免工作实施细则，报学校推免工作领导小组同</w:t>
      </w:r>
      <w:r>
        <w:rPr>
          <w:rFonts w:ascii="FangSong" w:hAnsi="FangSong" w:eastAsia="FangSong" w:cs="FangSong"/>
          <w:sz w:val="35"/>
          <w:szCs w:val="35"/>
          <w:spacing w:val="2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4"/>
        </w:rPr>
        <w:t>意后向学生公布。</w:t>
      </w:r>
    </w:p>
    <w:p>
      <w:pPr>
        <w:ind w:right="28" w:firstLine="779"/>
        <w:spacing w:before="18" w:line="267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5"/>
        </w:rPr>
        <w:t>(三)学生本人向所在学院(部)提出申请，提供</w:t>
      </w:r>
      <w:r>
        <w:rPr>
          <w:rFonts w:ascii="FangSong" w:hAnsi="FangSong" w:eastAsia="FangSong" w:cs="FangSong"/>
          <w:sz w:val="33"/>
          <w:szCs w:val="33"/>
          <w:spacing w:val="-6"/>
        </w:rPr>
        <w:t>相应证明材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6"/>
        </w:rPr>
        <w:t>料，签署诚信承诺书。申请人对承诺内容负责，并承担相应后果。</w:t>
      </w:r>
    </w:p>
    <w:p>
      <w:pPr>
        <w:ind w:right="50" w:firstLine="779"/>
        <w:spacing w:before="156" w:line="264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6"/>
        </w:rPr>
        <w:t>(四)学院(部)按照实施细则对学生进行综合测评，择优</w:t>
      </w:r>
      <w:r>
        <w:rPr>
          <w:rFonts w:ascii="FangSong" w:hAnsi="FangSong" w:eastAsia="FangSong" w:cs="FangSong"/>
          <w:sz w:val="33"/>
          <w:szCs w:val="33"/>
          <w:spacing w:val="12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1"/>
        </w:rPr>
        <w:t>确定拟推免名单，经公示无异议后报学校推</w:t>
      </w:r>
      <w:r>
        <w:rPr>
          <w:rFonts w:ascii="FangSong" w:hAnsi="FangSong" w:eastAsia="FangSong" w:cs="FangSong"/>
          <w:sz w:val="33"/>
          <w:szCs w:val="33"/>
          <w:spacing w:val="-12"/>
        </w:rPr>
        <w:t>免工作领导小组。</w:t>
      </w:r>
    </w:p>
    <w:p>
      <w:pPr>
        <w:ind w:right="27" w:firstLine="779"/>
        <w:spacing w:before="153" w:line="288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7"/>
        </w:rPr>
        <w:t>(五)拟推免名单经学校推免工作领导小组审定后予以公</w:t>
      </w:r>
      <w:r>
        <w:rPr>
          <w:rFonts w:ascii="FangSong" w:hAnsi="FangSong" w:eastAsia="FangSong" w:cs="FangSong"/>
          <w:sz w:val="33"/>
          <w:szCs w:val="33"/>
          <w:spacing w:val="16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9"/>
        </w:rPr>
        <w:t>示，公示时间不少于7日。公示期间，对有异议的学生，由相关</w:t>
      </w:r>
      <w:r>
        <w:rPr>
          <w:rFonts w:ascii="FangSong" w:hAnsi="FangSong" w:eastAsia="FangSong" w:cs="FangSong"/>
          <w:sz w:val="33"/>
          <w:szCs w:val="33"/>
          <w:spacing w:val="11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4"/>
        </w:rPr>
        <w:t>推荐单位于2日内查明情况并以书面形式报学校推免工作领导</w:t>
      </w:r>
      <w:r>
        <w:rPr>
          <w:rFonts w:ascii="FangSong" w:hAnsi="FangSong" w:eastAsia="FangSong" w:cs="FangSong"/>
          <w:sz w:val="33"/>
          <w:szCs w:val="33"/>
          <w:spacing w:val="10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7"/>
        </w:rPr>
        <w:t>小组研究处理。</w:t>
      </w:r>
    </w:p>
    <w:p>
      <w:pPr>
        <w:ind w:right="56" w:firstLine="779"/>
        <w:spacing w:before="187" w:line="273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-26"/>
        </w:rPr>
        <w:t>(六)学校将公示期满无异议的推免生名单报湖北省教育考</w:t>
      </w:r>
      <w:r>
        <w:rPr>
          <w:rFonts w:ascii="FangSong" w:hAnsi="FangSong" w:eastAsia="FangSong" w:cs="FangSong"/>
          <w:sz w:val="35"/>
          <w:szCs w:val="35"/>
          <w:spacing w:val="6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4"/>
        </w:rPr>
        <w:t>试院审核，并按要求向教育部备案，未经学校公示和备案的推免</w:t>
      </w:r>
      <w:r>
        <w:rPr>
          <w:rFonts w:ascii="FangSong" w:hAnsi="FangSong" w:eastAsia="FangSong" w:cs="FangSong"/>
          <w:sz w:val="35"/>
          <w:szCs w:val="35"/>
          <w:spacing w:val="14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5"/>
        </w:rPr>
        <w:t>生资格无效。</w:t>
      </w:r>
    </w:p>
    <w:p>
      <w:pPr>
        <w:ind w:left="3024"/>
        <w:spacing w:before="324" w:line="219" w:lineRule="auto"/>
        <w:outlineLvl w:val="1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b/>
          <w:bCs/>
          <w:spacing w:val="-28"/>
        </w:rPr>
        <w:t>第六章</w:t>
      </w:r>
      <w:r>
        <w:rPr>
          <w:rFonts w:ascii="SimSun" w:hAnsi="SimSun" w:eastAsia="SimSun" w:cs="SimSun"/>
          <w:sz w:val="35"/>
          <w:szCs w:val="35"/>
          <w:spacing w:val="134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-28"/>
        </w:rPr>
        <w:t>管理与监督</w:t>
      </w:r>
    </w:p>
    <w:p>
      <w:pPr>
        <w:ind w:right="9" w:firstLine="679"/>
        <w:spacing w:before="345" w:line="283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color w:val="707070"/>
          <w:spacing w:val="-1"/>
        </w:rPr>
        <w:t>第十四条</w:t>
      </w:r>
      <w:r>
        <w:rPr>
          <w:rFonts w:ascii="SimHei" w:hAnsi="SimHei" w:eastAsia="SimHei" w:cs="SimHei"/>
          <w:sz w:val="33"/>
          <w:szCs w:val="33"/>
          <w:color w:val="707070"/>
          <w:spacing w:val="169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"/>
        </w:rPr>
        <w:t>各学院(部)应加强推免工作管理，完善监督制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3"/>
        </w:rPr>
        <w:t>度。涉及推免生工作的原则、方法、程序和结果等重要</w:t>
      </w:r>
      <w:r>
        <w:rPr>
          <w:rFonts w:ascii="FangSong" w:hAnsi="FangSong" w:eastAsia="FangSong" w:cs="FangSong"/>
          <w:sz w:val="33"/>
          <w:szCs w:val="33"/>
          <w:spacing w:val="-14"/>
        </w:rPr>
        <w:t>事项都应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4"/>
        </w:rPr>
        <w:t>认真研究，集体决策。</w:t>
      </w:r>
    </w:p>
    <w:p>
      <w:pPr>
        <w:ind w:firstLine="669"/>
        <w:spacing w:before="164" w:line="277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spacing w:val="-34"/>
        </w:rPr>
        <w:t>第十五条</w:t>
      </w:r>
      <w:r>
        <w:rPr>
          <w:rFonts w:ascii="SimHei" w:hAnsi="SimHei" w:eastAsia="SimHei" w:cs="SimHei"/>
          <w:sz w:val="35"/>
          <w:szCs w:val="35"/>
          <w:spacing w:val="149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4"/>
        </w:rPr>
        <w:t>严格审核认定学</w:t>
      </w:r>
      <w:r>
        <w:rPr>
          <w:rFonts w:ascii="FangSong" w:hAnsi="FangSong" w:eastAsia="FangSong" w:cs="FangSong"/>
          <w:sz w:val="35"/>
          <w:szCs w:val="35"/>
          <w:spacing w:val="-33"/>
        </w:rPr>
        <w:t>生的特殊学术专长。推免生学</w:t>
      </w:r>
      <w:r>
        <w:rPr>
          <w:rFonts w:ascii="FangSong" w:hAnsi="FangSong" w:eastAsia="FangSong" w:cs="FangSong"/>
          <w:sz w:val="35"/>
          <w:szCs w:val="35"/>
          <w:spacing w:val="-22"/>
        </w:rPr>
        <w:t>术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22"/>
        </w:rPr>
        <w:t>专长原则上仅限学生本科阶段在核心期刊上以独立作者或第一</w:t>
      </w:r>
      <w:r>
        <w:rPr>
          <w:rFonts w:ascii="FangSong" w:hAnsi="FangSong" w:eastAsia="FangSong" w:cs="FangSong"/>
          <w:sz w:val="35"/>
          <w:szCs w:val="35"/>
          <w:spacing w:val="9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28"/>
        </w:rPr>
        <w:t>作者发表的，或与指导老师联合发表与学业相关的科研论文(仅</w:t>
      </w:r>
      <w:r>
        <w:rPr>
          <w:rFonts w:ascii="FangSong" w:hAnsi="FangSong" w:eastAsia="FangSong" w:cs="FangSong"/>
          <w:sz w:val="35"/>
          <w:szCs w:val="35"/>
          <w:spacing w:val="17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22"/>
        </w:rPr>
        <w:t>限于指导老师作为第一作者，学生作为第二作者);经江汉大学</w:t>
      </w:r>
      <w:r>
        <w:rPr>
          <w:rFonts w:ascii="FangSong" w:hAnsi="FangSong" w:eastAsia="FangSong" w:cs="FangSong"/>
          <w:sz w:val="35"/>
          <w:szCs w:val="35"/>
          <w:spacing w:val="4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3"/>
        </w:rPr>
        <w:t>选拔推荐，代表学校参加与学业相关的国内权威学科竞赛并获得</w:t>
      </w:r>
    </w:p>
    <w:p>
      <w:pPr>
        <w:spacing w:line="277" w:lineRule="auto"/>
        <w:sectPr>
          <w:footerReference w:type="default" r:id="rId8"/>
          <w:pgSz w:w="11910" w:h="16840"/>
          <w:pgMar w:top="1431" w:right="1539" w:bottom="1756" w:left="1450" w:header="0" w:footer="1444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pStyle w:val="BodyText"/>
        <w:spacing w:line="329" w:lineRule="auto"/>
        <w:rPr/>
      </w:pPr>
      <w:r/>
    </w:p>
    <w:p>
      <w:pPr>
        <w:pStyle w:val="BodyText"/>
        <w:spacing w:line="330" w:lineRule="auto"/>
        <w:rPr/>
      </w:pPr>
      <w:r/>
    </w:p>
    <w:p>
      <w:pPr>
        <w:ind w:left="39"/>
        <w:spacing w:before="114" w:line="221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-23"/>
        </w:rPr>
        <w:t>奖励(国际赛事参照执行，但不得低于国内赛事相关要求)。</w:t>
      </w:r>
    </w:p>
    <w:p>
      <w:pPr>
        <w:ind w:left="39" w:firstLine="630"/>
        <w:spacing w:before="174" w:line="298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spacing w:val="6"/>
        </w:rPr>
        <w:t>第十六条</w:t>
      </w:r>
      <w:r>
        <w:rPr>
          <w:rFonts w:ascii="SimHei" w:hAnsi="SimHei" w:eastAsia="SimHei" w:cs="SimHei"/>
          <w:sz w:val="33"/>
          <w:szCs w:val="33"/>
          <w:spacing w:val="16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6"/>
        </w:rPr>
        <w:t>各学院(部)成立专家审核小组(专家组成员应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1"/>
        </w:rPr>
        <w:t>具有相关学科副教授以上职称，</w:t>
      </w:r>
      <w:r>
        <w:rPr>
          <w:rFonts w:ascii="FangSong" w:hAnsi="FangSong" w:eastAsia="FangSong" w:cs="FangSong"/>
          <w:sz w:val="33"/>
          <w:szCs w:val="33"/>
          <w:spacing w:val="-85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1"/>
        </w:rPr>
        <w:t>一般不少于5人),对申请推免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1"/>
        </w:rPr>
        <w:t>资格学生的论文、竞赛获奖奖项及内容进行审核鉴定，排除抄袭、</w:t>
      </w:r>
      <w:r>
        <w:rPr>
          <w:rFonts w:ascii="FangSong" w:hAnsi="FangSong" w:eastAsia="FangSong" w:cs="FangSong"/>
          <w:sz w:val="33"/>
          <w:szCs w:val="33"/>
          <w:spacing w:val="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4"/>
        </w:rPr>
        <w:t>造假、冒名顶替及有名无实等情况。对学生提交的多篇科研成果</w:t>
      </w:r>
      <w:r>
        <w:rPr>
          <w:rFonts w:ascii="FangSong" w:hAnsi="FangSong" w:eastAsia="FangSong" w:cs="FangSong"/>
          <w:sz w:val="33"/>
          <w:szCs w:val="33"/>
          <w:spacing w:val="4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5"/>
        </w:rPr>
        <w:t>实行代表作评价，评价重点聚焦到创新质量和个人贡献。专家审</w:t>
      </w:r>
      <w:r>
        <w:rPr>
          <w:rFonts w:ascii="FangSong" w:hAnsi="FangSong" w:eastAsia="FangSong" w:cs="FangSong"/>
          <w:sz w:val="33"/>
          <w:szCs w:val="33"/>
          <w:spacing w:val="8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1"/>
        </w:rPr>
        <w:t>核小组及每位成员都要给出明确审核鉴定意见并签字存档。</w:t>
      </w:r>
    </w:p>
    <w:p>
      <w:pPr>
        <w:ind w:left="39" w:right="111" w:firstLine="630"/>
        <w:spacing w:before="177" w:line="275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9"/>
        </w:rPr>
        <w:t>第十七条</w:t>
      </w:r>
      <w:r>
        <w:rPr>
          <w:rFonts w:ascii="SimHei" w:hAnsi="SimHei" w:eastAsia="SimHei" w:cs="SimHei"/>
          <w:sz w:val="32"/>
          <w:szCs w:val="32"/>
          <w:spacing w:val="1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9"/>
        </w:rPr>
        <w:t>校纪委(监察专员办公室)对推免工</w:t>
      </w:r>
      <w:r>
        <w:rPr>
          <w:rFonts w:ascii="FangSong" w:hAnsi="FangSong" w:eastAsia="FangSong" w:cs="FangSong"/>
          <w:sz w:val="32"/>
          <w:szCs w:val="32"/>
          <w:spacing w:val="8"/>
        </w:rPr>
        <w:t>作进行全程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7"/>
        </w:rPr>
        <w:t>监督。</w:t>
      </w:r>
    </w:p>
    <w:p>
      <w:pPr>
        <w:ind w:left="39" w:right="106" w:firstLine="630"/>
        <w:spacing w:before="183" w:line="301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spacing w:val="-1"/>
        </w:rPr>
        <w:t>第十八条</w:t>
      </w:r>
      <w:r>
        <w:rPr>
          <w:rFonts w:ascii="SimHei" w:hAnsi="SimHei" w:eastAsia="SimHei" w:cs="SimHei"/>
          <w:sz w:val="33"/>
          <w:szCs w:val="33"/>
          <w:spacing w:val="164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"/>
        </w:rPr>
        <w:t>学校建立健全回避制度。各学院(部)推免相关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"/>
        </w:rPr>
        <w:t>工作人员有直系亲属或利益相关人员报名参加学校推免的应主</w:t>
      </w:r>
      <w:r>
        <w:rPr>
          <w:rFonts w:ascii="FangSong" w:hAnsi="FangSong" w:eastAsia="FangSong" w:cs="FangSong"/>
          <w:sz w:val="33"/>
          <w:szCs w:val="33"/>
          <w:spacing w:val="1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4"/>
        </w:rPr>
        <w:t>动申请回避，有非直系亲属等报名参加推免的要主动报备。相关</w:t>
      </w:r>
      <w:r>
        <w:rPr>
          <w:rFonts w:ascii="FangSong" w:hAnsi="FangSong" w:eastAsia="FangSong" w:cs="FangSong"/>
          <w:sz w:val="33"/>
          <w:szCs w:val="33"/>
          <w:spacing w:val="5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5"/>
        </w:rPr>
        <w:t>学生申请推免资格时也应主动报备。对未按规定报备的推免相关</w:t>
      </w:r>
      <w:r>
        <w:rPr>
          <w:rFonts w:ascii="FangSong" w:hAnsi="FangSong" w:eastAsia="FangSong" w:cs="FangSong"/>
          <w:sz w:val="33"/>
          <w:szCs w:val="33"/>
          <w:spacing w:val="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4"/>
        </w:rPr>
        <w:t>工作人员，学校将依规依纪依法严肃处理；对未</w:t>
      </w:r>
      <w:r>
        <w:rPr>
          <w:rFonts w:ascii="FangSong" w:hAnsi="FangSong" w:eastAsia="FangSong" w:cs="FangSong"/>
          <w:sz w:val="33"/>
          <w:szCs w:val="33"/>
          <w:spacing w:val="-15"/>
        </w:rPr>
        <w:t>按规定报备声明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4"/>
        </w:rPr>
        <w:t>回避关系且影响推免过程和结果公平公正的学生，学校将取消其</w:t>
      </w:r>
      <w:r>
        <w:rPr>
          <w:rFonts w:ascii="FangSong" w:hAnsi="FangSong" w:eastAsia="FangSong" w:cs="FangSong"/>
          <w:sz w:val="33"/>
          <w:szCs w:val="33"/>
          <w:spacing w:val="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7"/>
        </w:rPr>
        <w:t>推免资格。</w:t>
      </w:r>
    </w:p>
    <w:p>
      <w:pPr>
        <w:ind w:left="39" w:right="89" w:firstLine="630"/>
        <w:spacing w:before="189" w:line="277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</w:rPr>
        <w:t>第十九条</w:t>
      </w:r>
      <w:r>
        <w:rPr>
          <w:rFonts w:ascii="SimHei" w:hAnsi="SimHei" w:eastAsia="SimHei" w:cs="SimHei"/>
          <w:sz w:val="33"/>
          <w:szCs w:val="33"/>
          <w:spacing w:val="159"/>
        </w:rPr>
        <w:t xml:space="preserve"> </w:t>
      </w:r>
      <w:r>
        <w:rPr>
          <w:rFonts w:ascii="FangSong" w:hAnsi="FangSong" w:eastAsia="FangSong" w:cs="FangSong"/>
          <w:sz w:val="33"/>
          <w:szCs w:val="33"/>
        </w:rPr>
        <w:t>各学院(部)应切实做好推免信息公开工作，保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4"/>
        </w:rPr>
        <w:t>证公开、透明。在本单位网站开辟专栏，按要求公布推免工作实</w:t>
      </w:r>
      <w:r>
        <w:rPr>
          <w:rFonts w:ascii="FangSong" w:hAnsi="FangSong" w:eastAsia="FangSong" w:cs="FangSong"/>
          <w:sz w:val="33"/>
          <w:szCs w:val="33"/>
          <w:spacing w:val="9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4"/>
        </w:rPr>
        <w:t>施细则、拟推免名单等重要事项。</w:t>
      </w:r>
    </w:p>
    <w:p>
      <w:pPr>
        <w:ind w:left="39" w:right="86" w:firstLine="630"/>
        <w:spacing w:before="183" w:line="286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spacing w:val="-24"/>
        </w:rPr>
        <w:t>第二十条</w:t>
      </w:r>
      <w:r>
        <w:rPr>
          <w:rFonts w:ascii="SimHei" w:hAnsi="SimHei" w:eastAsia="SimHei" w:cs="SimHei"/>
          <w:sz w:val="33"/>
          <w:szCs w:val="33"/>
          <w:spacing w:val="126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4"/>
        </w:rPr>
        <w:t>充分保障学生申诉渠道畅通。学生对推免工作有意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3"/>
        </w:rPr>
        <w:t>见、建议或申诉、举报，应先向学院(部)推免工作</w:t>
      </w:r>
      <w:r>
        <w:rPr>
          <w:rFonts w:ascii="FangSong" w:hAnsi="FangSong" w:eastAsia="FangSong" w:cs="FangSong"/>
          <w:sz w:val="33"/>
          <w:szCs w:val="33"/>
          <w:spacing w:val="-14"/>
        </w:rPr>
        <w:t>小组反映。学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3"/>
        </w:rPr>
        <w:t>生对学院(部)的处理意见不服，可向校推免工作领导小组办公室</w:t>
      </w:r>
    </w:p>
    <w:p>
      <w:pPr>
        <w:spacing w:line="286" w:lineRule="auto"/>
        <w:sectPr>
          <w:footerReference w:type="default" r:id="rId9"/>
          <w:pgSz w:w="11910" w:h="16840"/>
          <w:pgMar w:top="1431" w:right="1445" w:bottom="1656" w:left="1460" w:header="0" w:footer="1344" w:gutter="0"/>
        </w:sectPr>
        <w:rPr>
          <w:rFonts w:ascii="FangSong" w:hAnsi="FangSong" w:eastAsia="FangSong" w:cs="FangSong"/>
          <w:sz w:val="33"/>
          <w:szCs w:val="33"/>
        </w:rPr>
      </w:pPr>
    </w:p>
    <w:p>
      <w:pPr>
        <w:pStyle w:val="BodyText"/>
        <w:spacing w:line="309" w:lineRule="auto"/>
        <w:rPr/>
      </w:pPr>
      <w:r/>
    </w:p>
    <w:p>
      <w:pPr>
        <w:pStyle w:val="BodyText"/>
        <w:spacing w:line="309" w:lineRule="auto"/>
        <w:rPr/>
      </w:pPr>
      <w:r/>
    </w:p>
    <w:p>
      <w:pPr>
        <w:spacing w:before="114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-44"/>
        </w:rPr>
        <w:t>反映，学校推免工作领导小组办公室为该项工作申诉受理机构。</w:t>
      </w:r>
    </w:p>
    <w:p>
      <w:pPr>
        <w:ind w:right="66" w:firstLine="659"/>
        <w:spacing w:before="174" w:line="307" w:lineRule="auto"/>
        <w:jc w:val="both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spacing w:val="-12"/>
        </w:rPr>
        <w:t>第二十一条</w:t>
      </w:r>
      <w:r>
        <w:rPr>
          <w:rFonts w:ascii="SimHei" w:hAnsi="SimHei" w:eastAsia="SimHei" w:cs="SimHei"/>
          <w:sz w:val="33"/>
          <w:szCs w:val="33"/>
          <w:spacing w:val="-12"/>
        </w:rPr>
        <w:t xml:space="preserve">  </w:t>
      </w:r>
      <w:r>
        <w:rPr>
          <w:rFonts w:ascii="FangSong" w:hAnsi="FangSong" w:eastAsia="FangSong" w:cs="FangSong"/>
          <w:sz w:val="33"/>
          <w:szCs w:val="33"/>
          <w:spacing w:val="-12"/>
        </w:rPr>
        <w:t>推免生出现下列情况之一的，一经查实，取消</w:t>
      </w:r>
      <w:r>
        <w:rPr>
          <w:rFonts w:ascii="FangSong" w:hAnsi="FangSong" w:eastAsia="FangSong" w:cs="FangSong"/>
          <w:sz w:val="33"/>
          <w:szCs w:val="33"/>
          <w:spacing w:val="1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3"/>
        </w:rPr>
        <w:t>其推免资格；已入学的，应当取消学籍，并上报</w:t>
      </w:r>
      <w:r>
        <w:rPr>
          <w:rFonts w:ascii="FangSong" w:hAnsi="FangSong" w:eastAsia="FangSong" w:cs="FangSong"/>
          <w:sz w:val="33"/>
          <w:szCs w:val="33"/>
          <w:spacing w:val="-14"/>
        </w:rPr>
        <w:t>省级教育招生考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5"/>
        </w:rPr>
        <w:t>试机构按规定记入《国家教育考试考生诚信档案》:</w:t>
      </w:r>
    </w:p>
    <w:p>
      <w:pPr>
        <w:ind w:left="799"/>
        <w:spacing w:line="219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-19"/>
        </w:rPr>
        <w:t>(一)在申请推免过程中弄虚作假。</w:t>
      </w:r>
    </w:p>
    <w:p>
      <w:pPr>
        <w:spacing w:before="146" w:line="221" w:lineRule="auto"/>
        <w:jc w:val="right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-22"/>
        </w:rPr>
        <w:t>(二)有论文抄袭、虚报获奖或科研成果等学术不端行为。</w:t>
      </w:r>
    </w:p>
    <w:p>
      <w:pPr>
        <w:ind w:left="799"/>
        <w:spacing w:before="151" w:line="221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-21"/>
        </w:rPr>
        <w:t>(三)有其他严重影响推免过程和结果公平公正行为。</w:t>
      </w:r>
    </w:p>
    <w:p>
      <w:pPr>
        <w:ind w:left="799"/>
        <w:spacing w:before="132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-21"/>
        </w:rPr>
        <w:t>(四)违反校纪校规受到纪律处分或被追究法律责任。</w:t>
      </w:r>
    </w:p>
    <w:p>
      <w:pPr>
        <w:ind w:left="799"/>
        <w:spacing w:before="137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-21"/>
        </w:rPr>
        <w:t>(五)其他不符合教育部和学校推免工作要求的。</w:t>
      </w:r>
    </w:p>
    <w:p>
      <w:pPr>
        <w:ind w:right="100" w:firstLine="659"/>
        <w:spacing w:before="160" w:line="315" w:lineRule="auto"/>
        <w:jc w:val="both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spacing w:val="-14"/>
        </w:rPr>
        <w:t>第二十二条</w:t>
      </w:r>
      <w:r>
        <w:rPr>
          <w:rFonts w:ascii="SimHei" w:hAnsi="SimHei" w:eastAsia="SimHei" w:cs="SimHei"/>
          <w:sz w:val="33"/>
          <w:szCs w:val="33"/>
          <w:spacing w:val="-14"/>
        </w:rPr>
        <w:t xml:space="preserve">  </w:t>
      </w:r>
      <w:r>
        <w:rPr>
          <w:rFonts w:ascii="FangSong" w:hAnsi="FangSong" w:eastAsia="FangSong" w:cs="FangSong"/>
          <w:sz w:val="33"/>
          <w:szCs w:val="33"/>
          <w:spacing w:val="-14"/>
        </w:rPr>
        <w:t>推免相关工作人员未严格履行工作职责，违反</w:t>
      </w:r>
      <w:r>
        <w:rPr>
          <w:rFonts w:ascii="FangSong" w:hAnsi="FangSong" w:eastAsia="FangSong" w:cs="FangSong"/>
          <w:sz w:val="33"/>
          <w:szCs w:val="33"/>
          <w:spacing w:val="17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3"/>
        </w:rPr>
        <w:t>推免政策规定的，学校将依规依纪严肃处理。对在推免工作中管</w:t>
      </w:r>
      <w:r>
        <w:rPr>
          <w:rFonts w:ascii="FangSong" w:hAnsi="FangSong" w:eastAsia="FangSong" w:cs="FangSong"/>
          <w:sz w:val="33"/>
          <w:szCs w:val="33"/>
          <w:spacing w:val="7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3"/>
        </w:rPr>
        <w:t>理松懈、把关不严，未能尽到审核责任、未按相关政策</w:t>
      </w:r>
      <w:r>
        <w:rPr>
          <w:rFonts w:ascii="FangSong" w:hAnsi="FangSong" w:eastAsia="FangSong" w:cs="FangSong"/>
          <w:sz w:val="33"/>
          <w:szCs w:val="33"/>
          <w:spacing w:val="-14"/>
        </w:rPr>
        <w:t>要求开展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4"/>
        </w:rPr>
        <w:t>推免工作的学院(部),学校将核减推免生名额，严肃处理该单</w:t>
      </w:r>
      <w:r>
        <w:rPr>
          <w:rFonts w:ascii="FangSong" w:hAnsi="FangSong" w:eastAsia="FangSong" w:cs="FangSong"/>
          <w:sz w:val="33"/>
          <w:szCs w:val="33"/>
          <w:spacing w:val="14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3"/>
        </w:rPr>
        <w:t>位并追究直接责任人员的责任。</w:t>
      </w:r>
    </w:p>
    <w:p>
      <w:pPr>
        <w:ind w:left="3344"/>
        <w:spacing w:before="178" w:line="219" w:lineRule="auto"/>
        <w:outlineLvl w:val="1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b/>
          <w:bCs/>
          <w:spacing w:val="-22"/>
        </w:rPr>
        <w:t>第七章</w:t>
      </w:r>
      <w:r>
        <w:rPr>
          <w:rFonts w:ascii="SimSun" w:hAnsi="SimSun" w:eastAsia="SimSun" w:cs="SimSun"/>
          <w:sz w:val="35"/>
          <w:szCs w:val="35"/>
          <w:spacing w:val="130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-22"/>
        </w:rPr>
        <w:t>附</w:t>
      </w:r>
      <w:r>
        <w:rPr>
          <w:rFonts w:ascii="SimSun" w:hAnsi="SimSun" w:eastAsia="SimSun" w:cs="SimSun"/>
          <w:sz w:val="35"/>
          <w:szCs w:val="35"/>
          <w:spacing w:val="-22"/>
        </w:rPr>
        <w:t xml:space="preserve">  </w:t>
      </w:r>
      <w:r>
        <w:rPr>
          <w:rFonts w:ascii="SimSun" w:hAnsi="SimSun" w:eastAsia="SimSun" w:cs="SimSun"/>
          <w:sz w:val="35"/>
          <w:szCs w:val="35"/>
          <w:b/>
          <w:bCs/>
          <w:spacing w:val="-22"/>
        </w:rPr>
        <w:t>则</w:t>
      </w:r>
    </w:p>
    <w:p>
      <w:pPr>
        <w:ind w:right="76" w:firstLine="659"/>
        <w:spacing w:before="315" w:line="261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spacing w:val="-20"/>
        </w:rPr>
        <w:t>第二十三条</w:t>
      </w:r>
      <w:r>
        <w:rPr>
          <w:rFonts w:ascii="SimHei" w:hAnsi="SimHei" w:eastAsia="SimHei" w:cs="SimHei"/>
          <w:sz w:val="35"/>
          <w:szCs w:val="35"/>
          <w:spacing w:val="15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20"/>
        </w:rPr>
        <w:t>依据教育部推免文件精神的变化及推</w:t>
      </w:r>
      <w:r>
        <w:rPr>
          <w:rFonts w:ascii="FangSong" w:hAnsi="FangSong" w:eastAsia="FangSong" w:cs="FangSong"/>
          <w:sz w:val="35"/>
          <w:szCs w:val="35"/>
          <w:spacing w:val="-21"/>
        </w:rPr>
        <w:t>免工作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1"/>
        </w:rPr>
        <w:t>实际需要，学校可对推免事宜进行调整或补充说明。</w:t>
      </w:r>
    </w:p>
    <w:p>
      <w:pPr>
        <w:ind w:left="659"/>
        <w:spacing w:before="180" w:line="22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第二十四条</w:t>
      </w:r>
      <w:r>
        <w:rPr>
          <w:rFonts w:ascii="SimHei" w:hAnsi="SimHei" w:eastAsia="SimHei" w:cs="SimHei"/>
          <w:sz w:val="32"/>
          <w:szCs w:val="32"/>
          <w:spacing w:val="16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本办法自印发之日起施行。</w:t>
      </w:r>
    </w:p>
    <w:p>
      <w:pPr>
        <w:ind w:right="75" w:firstLine="659"/>
        <w:spacing w:before="137" w:line="26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spacing w:val="-20"/>
        </w:rPr>
        <w:t>第二十五条</w:t>
      </w:r>
      <w:r>
        <w:rPr>
          <w:rFonts w:ascii="SimHei" w:hAnsi="SimHei" w:eastAsia="SimHei" w:cs="SimHei"/>
          <w:sz w:val="35"/>
          <w:szCs w:val="35"/>
          <w:spacing w:val="-20"/>
        </w:rPr>
        <w:t xml:space="preserve">  </w:t>
      </w:r>
      <w:r>
        <w:rPr>
          <w:rFonts w:ascii="FangSong" w:hAnsi="FangSong" w:eastAsia="FangSong" w:cs="FangSong"/>
          <w:sz w:val="35"/>
          <w:szCs w:val="35"/>
          <w:spacing w:val="-20"/>
        </w:rPr>
        <w:t>本办法由学校推免工作领导小组办公室负责</w:t>
      </w:r>
      <w:r>
        <w:rPr>
          <w:rFonts w:ascii="FangSong" w:hAnsi="FangSong" w:eastAsia="FangSong" w:cs="FangSong"/>
          <w:sz w:val="35"/>
          <w:szCs w:val="35"/>
          <w:spacing w:val="18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28"/>
        </w:rPr>
        <w:t>解释。</w:t>
      </w:r>
    </w:p>
    <w:p>
      <w:pPr>
        <w:spacing w:line="260" w:lineRule="auto"/>
        <w:sectPr>
          <w:footerReference w:type="default" r:id="rId10"/>
          <w:pgSz w:w="11910" w:h="16840"/>
          <w:pgMar w:top="1431" w:right="1464" w:bottom="1774" w:left="1460" w:header="0" w:footer="1450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pStyle w:val="BodyText"/>
        <w:spacing w:line="310" w:lineRule="auto"/>
        <w:rPr/>
      </w:pPr>
      <w:r/>
    </w:p>
    <w:p>
      <w:pPr>
        <w:pStyle w:val="BodyText"/>
        <w:spacing w:line="311" w:lineRule="auto"/>
        <w:rPr/>
      </w:pPr>
      <w:r/>
    </w:p>
    <w:p>
      <w:pPr>
        <w:ind w:left="26"/>
        <w:spacing w:before="156" w:line="219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41"/>
        </w:rPr>
        <w:t>江汉大学推免生素质成绩评定奖励分实施细则</w:t>
      </w:r>
    </w:p>
    <w:p>
      <w:pPr>
        <w:pStyle w:val="BodyText"/>
        <w:spacing w:line="310" w:lineRule="auto"/>
        <w:rPr/>
      </w:pPr>
      <w:r/>
    </w:p>
    <w:p>
      <w:pPr>
        <w:pStyle w:val="BodyText"/>
        <w:spacing w:line="310" w:lineRule="auto"/>
        <w:rPr/>
      </w:pPr>
      <w:r/>
    </w:p>
    <w:p>
      <w:pPr>
        <w:ind w:left="20" w:right="142" w:firstLine="649"/>
        <w:spacing w:before="104" w:line="323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3"/>
        </w:rPr>
        <w:t>推免生的学生综合评定成绩采取百分制(取小数点后两位),</w:t>
      </w:r>
      <w:r>
        <w:rPr>
          <w:rFonts w:ascii="FangSong" w:hAnsi="FangSong" w:eastAsia="FangSong" w:cs="FangSong"/>
          <w:sz w:val="32"/>
          <w:szCs w:val="32"/>
          <w:spacing w:val="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2"/>
        </w:rPr>
        <w:t>分为学业成绩评定和素质成绩评定部分(含特殊学术专长和综合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素质部分)。综合评定成绩=学业成绩评定总分×85%+特</w:t>
      </w:r>
      <w:r>
        <w:rPr>
          <w:rFonts w:ascii="FangSong" w:hAnsi="FangSong" w:eastAsia="FangSong" w:cs="FangSong"/>
          <w:sz w:val="32"/>
          <w:szCs w:val="32"/>
          <w:spacing w:val="-4"/>
        </w:rPr>
        <w:t>殊学术专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长总分×10%+综合素质总分×5%。素质成绩</w:t>
      </w:r>
      <w:r>
        <w:rPr>
          <w:rFonts w:ascii="FangSong" w:hAnsi="FangSong" w:eastAsia="FangSong" w:cs="FangSong"/>
          <w:sz w:val="32"/>
          <w:szCs w:val="32"/>
          <w:spacing w:val="-4"/>
        </w:rPr>
        <w:t>评定将学生特殊学术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8"/>
        </w:rPr>
        <w:t>专长和综合素质等符合全面发展价值导向的因素纳入推免生遴</w:t>
      </w:r>
      <w:r>
        <w:rPr>
          <w:rFonts w:ascii="FangSong" w:hAnsi="FangSong" w:eastAsia="FangSong" w:cs="FangSong"/>
          <w:sz w:val="32"/>
          <w:szCs w:val="32"/>
          <w:spacing w:val="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选指标体系，通过综合评价学生各方面表现，形成最</w:t>
      </w:r>
      <w:r>
        <w:rPr>
          <w:rFonts w:ascii="FangSong" w:hAnsi="FangSong" w:eastAsia="FangSong" w:cs="FangSong"/>
          <w:sz w:val="32"/>
          <w:szCs w:val="32"/>
          <w:spacing w:val="-4"/>
        </w:rPr>
        <w:t>终的素质成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0"/>
        </w:rPr>
        <w:t>绩评定总分。</w:t>
      </w:r>
    </w:p>
    <w:p>
      <w:pPr>
        <w:ind w:left="20" w:right="155" w:firstLine="649"/>
        <w:spacing w:before="1" w:line="296" w:lineRule="auto"/>
        <w:jc w:val="both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-13"/>
        </w:rPr>
        <w:t>素质成绩评定分为特殊学术专长部分(占比10%)和综合素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20"/>
        </w:rPr>
        <w:t>质部分(占比5%)。特殊学术专长具体包含学科竞赛和论文；综</w:t>
      </w:r>
      <w:r>
        <w:rPr>
          <w:rFonts w:ascii="FangSong" w:hAnsi="FangSong" w:eastAsia="FangSong" w:cs="FangSong"/>
          <w:sz w:val="35"/>
          <w:szCs w:val="35"/>
          <w:spacing w:val="11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3"/>
        </w:rPr>
        <w:t>合素质具体包含参军入伍服兵役、参加志愿</w:t>
      </w:r>
      <w:r>
        <w:rPr>
          <w:rFonts w:ascii="FangSong" w:hAnsi="FangSong" w:eastAsia="FangSong" w:cs="FangSong"/>
          <w:sz w:val="35"/>
          <w:szCs w:val="35"/>
          <w:spacing w:val="-34"/>
        </w:rPr>
        <w:t>服务和到国际组织实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0"/>
        </w:rPr>
        <w:t>习。学生在某一方面有多项加分情况时，原则上只</w:t>
      </w:r>
      <w:r>
        <w:rPr>
          <w:rFonts w:ascii="FangSong" w:hAnsi="FangSong" w:eastAsia="FangSong" w:cs="FangSong"/>
          <w:sz w:val="35"/>
          <w:szCs w:val="35"/>
          <w:spacing w:val="-31"/>
        </w:rPr>
        <w:t>取一项。</w:t>
      </w:r>
    </w:p>
    <w:p>
      <w:pPr>
        <w:ind w:left="669"/>
        <w:spacing w:before="34" w:line="221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</w:rPr>
        <w:t>一、特殊学术专长</w:t>
      </w:r>
    </w:p>
    <w:p>
      <w:pPr>
        <w:ind w:left="799"/>
        <w:spacing w:before="167" w:line="220" w:lineRule="auto"/>
        <w:rPr>
          <w:rFonts w:ascii="KaiTi" w:hAnsi="KaiTi" w:eastAsia="KaiTi" w:cs="KaiTi"/>
          <w:sz w:val="33"/>
          <w:szCs w:val="33"/>
        </w:rPr>
      </w:pPr>
      <w:r>
        <w:rPr>
          <w:rFonts w:ascii="KaiTi" w:hAnsi="KaiTi" w:eastAsia="KaiTi" w:cs="KaiTi"/>
          <w:sz w:val="33"/>
          <w:szCs w:val="33"/>
          <w:spacing w:val="6"/>
        </w:rPr>
        <w:t>(一)学科竞赛类，奖励分累计不超过50分。</w:t>
      </w:r>
    </w:p>
    <w:p>
      <w:pPr>
        <w:ind w:left="20" w:firstLine="649"/>
        <w:spacing w:before="174" w:line="314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14"/>
        </w:rPr>
        <w:t>经江汉大学选拔推荐，代表学校参加与学业相关的国内权威</w:t>
      </w:r>
      <w:r>
        <w:rPr>
          <w:rFonts w:ascii="FangSong" w:hAnsi="FangSong" w:eastAsia="FangSong" w:cs="FangSong"/>
          <w:sz w:val="33"/>
          <w:szCs w:val="33"/>
          <w:spacing w:val="4"/>
        </w:rPr>
        <w:t xml:space="preserve">  </w:t>
      </w:r>
      <w:r>
        <w:rPr>
          <w:rFonts w:ascii="FangSong" w:hAnsi="FangSong" w:eastAsia="FangSong" w:cs="FangSong"/>
          <w:sz w:val="33"/>
          <w:szCs w:val="33"/>
          <w:spacing w:val="-8"/>
        </w:rPr>
        <w:t>学科竞赛并获得奖励(国际赛事参照执行，但不得低于国内赛事</w:t>
      </w:r>
      <w:r>
        <w:rPr>
          <w:rFonts w:ascii="FangSong" w:hAnsi="FangSong" w:eastAsia="FangSong" w:cs="FangSong"/>
          <w:sz w:val="33"/>
          <w:szCs w:val="33"/>
          <w:spacing w:val="7"/>
        </w:rPr>
        <w:t xml:space="preserve">  </w:t>
      </w:r>
      <w:r>
        <w:rPr>
          <w:rFonts w:ascii="FangSong" w:hAnsi="FangSong" w:eastAsia="FangSong" w:cs="FangSong"/>
          <w:sz w:val="33"/>
          <w:szCs w:val="33"/>
          <w:spacing w:val="-2"/>
        </w:rPr>
        <w:t>相关要求)。权威学科竞赛为《江汉大学本科生学科竞赛榜单》</w:t>
      </w:r>
      <w:r>
        <w:rPr>
          <w:rFonts w:ascii="FangSong" w:hAnsi="FangSong" w:eastAsia="FangSong" w:cs="FangSong"/>
          <w:sz w:val="33"/>
          <w:szCs w:val="33"/>
          <w:spacing w:val="17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12"/>
        </w:rPr>
        <w:t>(现行最新版)中的</w:t>
      </w:r>
      <w:r>
        <w:rPr>
          <w:rFonts w:ascii="Times New Roman" w:hAnsi="Times New Roman" w:eastAsia="Times New Roman" w:cs="Times New Roman"/>
          <w:sz w:val="33"/>
          <w:szCs w:val="33"/>
          <w:spacing w:val="12"/>
        </w:rPr>
        <w:t>B </w:t>
      </w:r>
      <w:r>
        <w:rPr>
          <w:rFonts w:ascii="FangSong" w:hAnsi="FangSong" w:eastAsia="FangSong" w:cs="FangSong"/>
          <w:sz w:val="33"/>
          <w:szCs w:val="33"/>
          <w:spacing w:val="12"/>
        </w:rPr>
        <w:t>类及以上竞赛。</w:t>
      </w:r>
    </w:p>
    <w:p>
      <w:pPr>
        <w:ind w:left="669"/>
        <w:spacing w:line="223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Times New Roman" w:hAnsi="Times New Roman" w:eastAsia="Times New Roman" w:cs="Times New Roman"/>
          <w:sz w:val="35"/>
          <w:szCs w:val="35"/>
          <w:spacing w:val="-29"/>
        </w:rPr>
        <w:t>A+</w:t>
      </w:r>
      <w:r>
        <w:rPr>
          <w:rFonts w:ascii="FangSong" w:hAnsi="FangSong" w:eastAsia="FangSong" w:cs="FangSong"/>
          <w:sz w:val="35"/>
          <w:szCs w:val="35"/>
          <w:spacing w:val="-29"/>
        </w:rPr>
        <w:t>类竞赛：</w:t>
      </w:r>
    </w:p>
    <w:p>
      <w:pPr>
        <w:ind w:left="20" w:right="122" w:firstLine="649"/>
        <w:spacing w:before="146" w:line="294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-34"/>
        </w:rPr>
        <w:t>中国国际大学生创新大赛，国家级金奖、银奖、铜奖团队成</w:t>
      </w:r>
      <w:r>
        <w:rPr>
          <w:rFonts w:ascii="FangSong" w:hAnsi="FangSong" w:eastAsia="FangSong" w:cs="FangSong"/>
          <w:sz w:val="35"/>
          <w:szCs w:val="35"/>
          <w:spacing w:val="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18"/>
        </w:rPr>
        <w:t>员排序前2者，分别计20、16、8分，其他团队成员减半计分。</w:t>
      </w:r>
    </w:p>
    <w:p>
      <w:pPr>
        <w:spacing w:line="294" w:lineRule="auto"/>
        <w:sectPr>
          <w:footerReference w:type="default" r:id="rId11"/>
          <w:pgSz w:w="11910" w:h="16840"/>
          <w:pgMar w:top="1431" w:right="1412" w:bottom="1666" w:left="1440" w:header="0" w:footer="1354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pStyle w:val="BodyText"/>
        <w:spacing w:line="335" w:lineRule="auto"/>
        <w:rPr/>
      </w:pPr>
      <w:r/>
    </w:p>
    <w:p>
      <w:pPr>
        <w:pStyle w:val="BodyText"/>
        <w:spacing w:line="335" w:lineRule="auto"/>
        <w:rPr/>
      </w:pPr>
      <w:r/>
    </w:p>
    <w:p>
      <w:pPr>
        <w:spacing w:before="114" w:line="29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-27"/>
        </w:rPr>
        <w:t>省级金奖、银奖、铜奖团队成员排序前2者，分别计7、5、3分，</w:t>
      </w:r>
      <w:r>
        <w:rPr>
          <w:rFonts w:ascii="FangSong" w:hAnsi="FangSong" w:eastAsia="FangSong" w:cs="FangSong"/>
          <w:sz w:val="35"/>
          <w:szCs w:val="35"/>
          <w:spacing w:val="3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2"/>
        </w:rPr>
        <w:t>其他团队成员减半计分。</w:t>
      </w:r>
    </w:p>
    <w:p>
      <w:pPr>
        <w:ind w:firstLine="454"/>
        <w:spacing w:line="301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-27"/>
        </w:rPr>
        <w:t>“挑战杯”全国大学生课外学术科技作品竞赛，国家级特等</w:t>
      </w:r>
      <w:r>
        <w:rPr>
          <w:rFonts w:ascii="FangSong" w:hAnsi="FangSong" w:eastAsia="FangSong" w:cs="FangSong"/>
          <w:sz w:val="35"/>
          <w:szCs w:val="35"/>
          <w:spacing w:val="16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22"/>
        </w:rPr>
        <w:t>奖、一等奖、二等奖、三等奖团队成员排序前2者，分别计20、</w:t>
      </w:r>
    </w:p>
    <w:p>
      <w:pPr>
        <w:ind w:right="179"/>
        <w:spacing w:before="3" w:line="295" w:lineRule="auto"/>
        <w:jc w:val="both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-22"/>
        </w:rPr>
        <w:t>16、8、6分，其他团队成员减半计分。省级特等奖、一等奖、</w:t>
      </w:r>
      <w:r>
        <w:rPr>
          <w:rFonts w:ascii="FangSong" w:hAnsi="FangSong" w:eastAsia="FangSong" w:cs="FangSong"/>
          <w:sz w:val="35"/>
          <w:szCs w:val="35"/>
          <w:spacing w:val="2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16"/>
        </w:rPr>
        <w:t>二等奖、三等奖团队成员排序前2者，分别计5、4、3、2分，</w:t>
      </w:r>
      <w:r>
        <w:rPr>
          <w:rFonts w:ascii="FangSong" w:hAnsi="FangSong" w:eastAsia="FangSong" w:cs="FangSong"/>
          <w:sz w:val="35"/>
          <w:szCs w:val="35"/>
          <w:spacing w:val="3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1"/>
        </w:rPr>
        <w:t>其他团队成员减半计分。</w:t>
      </w:r>
    </w:p>
    <w:p>
      <w:pPr>
        <w:ind w:right="144" w:firstLine="454"/>
        <w:spacing w:before="1" w:line="295" w:lineRule="auto"/>
        <w:jc w:val="both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-39"/>
        </w:rPr>
        <w:t>“挑战杯”中国大学生创业计划竞赛，国家级金奖、银</w:t>
      </w:r>
      <w:r>
        <w:rPr>
          <w:rFonts w:ascii="FangSong" w:hAnsi="FangSong" w:eastAsia="FangSong" w:cs="FangSong"/>
          <w:sz w:val="35"/>
          <w:szCs w:val="35"/>
          <w:spacing w:val="-40"/>
        </w:rPr>
        <w:t>奖、铜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20"/>
        </w:rPr>
        <w:t>奖团队成员排序前2者，分别计算20、16、8</w:t>
      </w:r>
      <w:r>
        <w:rPr>
          <w:rFonts w:ascii="FangSong" w:hAnsi="FangSong" w:eastAsia="FangSong" w:cs="FangSong"/>
          <w:sz w:val="35"/>
          <w:szCs w:val="35"/>
          <w:spacing w:val="-21"/>
        </w:rPr>
        <w:t>分，其他团队成员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28"/>
        </w:rPr>
        <w:t>减半计分。省级金奖、银奖、铜奖团队成员排序前2者，分别计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22"/>
        </w:rPr>
        <w:t>7、5、3分，其他团队成员减半计分。</w:t>
      </w:r>
    </w:p>
    <w:p>
      <w:pPr>
        <w:ind w:right="112" w:firstLine="629"/>
        <w:spacing w:before="21" w:line="284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Times New Roman" w:hAnsi="Times New Roman" w:eastAsia="Times New Roman" w:cs="Times New Roman"/>
          <w:sz w:val="35"/>
          <w:szCs w:val="35"/>
          <w:spacing w:val="-29"/>
        </w:rPr>
        <w:t>A</w:t>
      </w:r>
      <w:r>
        <w:rPr>
          <w:rFonts w:ascii="FangSong" w:hAnsi="FangSong" w:eastAsia="FangSong" w:cs="FangSong"/>
          <w:sz w:val="35"/>
          <w:szCs w:val="35"/>
          <w:spacing w:val="-29"/>
        </w:rPr>
        <w:t>类竞赛，国家级特等奖、一等奖、二等奖、三等奖团队负</w:t>
      </w:r>
      <w:r>
        <w:rPr>
          <w:rFonts w:ascii="FangSong" w:hAnsi="FangSong" w:eastAsia="FangSong" w:cs="FangSong"/>
          <w:sz w:val="35"/>
          <w:szCs w:val="35"/>
          <w:spacing w:val="2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21"/>
        </w:rPr>
        <w:t>责人分别计7、6、3、2分，团队其他成员减半计分。</w:t>
      </w:r>
    </w:p>
    <w:p>
      <w:pPr>
        <w:ind w:right="113" w:firstLine="629"/>
        <w:spacing w:before="24" w:line="289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Times New Roman" w:hAnsi="Times New Roman" w:eastAsia="Times New Roman" w:cs="Times New Roman"/>
          <w:sz w:val="35"/>
          <w:szCs w:val="35"/>
          <w:spacing w:val="-31"/>
        </w:rPr>
        <w:t>B </w:t>
      </w:r>
      <w:r>
        <w:rPr>
          <w:rFonts w:ascii="FangSong" w:hAnsi="FangSong" w:eastAsia="FangSong" w:cs="FangSong"/>
          <w:sz w:val="35"/>
          <w:szCs w:val="35"/>
          <w:spacing w:val="-31"/>
        </w:rPr>
        <w:t>类竞赛，国家级特等奖、一等奖、二等奖团队负责人分别</w:t>
      </w:r>
      <w:r>
        <w:rPr>
          <w:rFonts w:ascii="FangSong" w:hAnsi="FangSong" w:eastAsia="FangSong" w:cs="FangSong"/>
          <w:sz w:val="35"/>
          <w:szCs w:val="35"/>
          <w:spacing w:val="16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21"/>
        </w:rPr>
        <w:t>计4、2、1分，团队其他成员减半计分。</w:t>
      </w:r>
    </w:p>
    <w:p>
      <w:pPr>
        <w:ind w:right="41" w:firstLine="689"/>
        <w:spacing w:before="16" w:line="295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-19"/>
        </w:rPr>
        <w:t>一项竞赛多次获奖以最高分计。具体细则可由各学院(部)</w:t>
      </w:r>
      <w:r>
        <w:rPr>
          <w:rFonts w:ascii="FangSong" w:hAnsi="FangSong" w:eastAsia="FangSong" w:cs="FangSong"/>
          <w:sz w:val="35"/>
          <w:szCs w:val="35"/>
          <w:spacing w:val="6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0"/>
        </w:rPr>
        <w:t>制定，但各类相应等级加分不得超过以上相应分值。</w:t>
      </w:r>
    </w:p>
    <w:p>
      <w:pPr>
        <w:ind w:left="820"/>
        <w:spacing w:before="9" w:line="220" w:lineRule="auto"/>
        <w:rPr>
          <w:rFonts w:ascii="KaiTi" w:hAnsi="KaiTi" w:eastAsia="KaiTi" w:cs="KaiTi"/>
          <w:sz w:val="33"/>
          <w:szCs w:val="33"/>
        </w:rPr>
      </w:pPr>
      <w:r>
        <w:rPr>
          <w:rFonts w:ascii="KaiTi" w:hAnsi="KaiTi" w:eastAsia="KaiTi" w:cs="KaiTi"/>
          <w:sz w:val="33"/>
          <w:szCs w:val="33"/>
          <w:spacing w:val="7"/>
        </w:rPr>
        <w:t>(二)论文类，奖励分累计不超过50分。</w:t>
      </w:r>
    </w:p>
    <w:p>
      <w:pPr>
        <w:ind w:right="58" w:firstLine="699"/>
        <w:spacing w:before="153" w:line="295" w:lineRule="auto"/>
        <w:jc w:val="both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-33"/>
        </w:rPr>
        <w:t>学生本科阶段在高水平期刊上，以独立作者</w:t>
      </w:r>
      <w:r>
        <w:rPr>
          <w:rFonts w:ascii="FangSong" w:hAnsi="FangSong" w:eastAsia="FangSong" w:cs="FangSong"/>
          <w:sz w:val="35"/>
          <w:szCs w:val="35"/>
          <w:spacing w:val="-34"/>
        </w:rPr>
        <w:t>或第一作者发表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5"/>
        </w:rPr>
        <w:t>的，或与指导老师联合发表的与学业相关的科研论文。与指导老</w:t>
      </w:r>
      <w:r>
        <w:rPr>
          <w:rFonts w:ascii="FangSong" w:hAnsi="FangSong" w:eastAsia="FangSong" w:cs="FangSong"/>
          <w:sz w:val="35"/>
          <w:szCs w:val="35"/>
          <w:spacing w:val="18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4"/>
        </w:rPr>
        <w:t>师联合发表论文，仅限于指导老师作为第一作者，学生作为第二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3"/>
        </w:rPr>
        <w:t>作者的情况。公开发表的与本学科相关的论文，在《江汉大学高</w:t>
      </w:r>
    </w:p>
    <w:p>
      <w:pPr>
        <w:spacing w:line="295" w:lineRule="auto"/>
        <w:sectPr>
          <w:footerReference w:type="default" r:id="rId12"/>
          <w:pgSz w:w="11910" w:h="16840"/>
          <w:pgMar w:top="1431" w:right="1444" w:bottom="1726" w:left="1470" w:header="0" w:footer="1412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pStyle w:val="BodyText"/>
        <w:spacing w:line="339" w:lineRule="auto"/>
        <w:rPr/>
      </w:pPr>
      <w:r/>
    </w:p>
    <w:p>
      <w:pPr>
        <w:pStyle w:val="BodyText"/>
        <w:spacing w:line="340" w:lineRule="auto"/>
        <w:rPr/>
      </w:pPr>
      <w:r/>
    </w:p>
    <w:p>
      <w:pPr>
        <w:ind w:right="120"/>
        <w:spacing w:before="113" w:line="293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-18"/>
        </w:rPr>
        <w:t>质量科研工作分类及量化核算办法》(江校科</w:t>
      </w:r>
      <w:r>
        <w:rPr>
          <w:rFonts w:ascii="FangSong" w:hAnsi="FangSong" w:eastAsia="FangSong" w:cs="FangSong"/>
          <w:sz w:val="35"/>
          <w:szCs w:val="35"/>
          <w:spacing w:val="-19"/>
        </w:rPr>
        <w:t>〔2025〕29号)中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10"/>
        </w:rPr>
        <w:t>认定为</w:t>
      </w:r>
      <w:r>
        <w:rPr>
          <w:rFonts w:ascii="Times New Roman" w:hAnsi="Times New Roman" w:eastAsia="Times New Roman" w:cs="Times New Roman"/>
          <w:sz w:val="35"/>
          <w:szCs w:val="35"/>
          <w:spacing w:val="-10"/>
        </w:rPr>
        <w:t>T</w:t>
      </w:r>
      <w:r>
        <w:rPr>
          <w:rFonts w:ascii="Times New Roman" w:hAnsi="Times New Roman" w:eastAsia="Times New Roman" w:cs="Times New Roman"/>
          <w:sz w:val="35"/>
          <w:szCs w:val="35"/>
          <w:spacing w:val="-45"/>
        </w:rPr>
        <w:t xml:space="preserve"> </w:t>
      </w:r>
      <w:r>
        <w:rPr>
          <w:rFonts w:ascii="SimSun" w:hAnsi="SimSun" w:eastAsia="SimSun" w:cs="SimSun"/>
          <w:sz w:val="35"/>
          <w:szCs w:val="35"/>
          <w:spacing w:val="-10"/>
        </w:rPr>
        <w:t>、</w:t>
      </w:r>
      <w:r>
        <w:rPr>
          <w:rFonts w:ascii="Times New Roman" w:hAnsi="Times New Roman" w:eastAsia="Times New Roman" w:cs="Times New Roman"/>
          <w:sz w:val="35"/>
          <w:szCs w:val="35"/>
          <w:spacing w:val="-10"/>
        </w:rPr>
        <w:t>A</w:t>
      </w:r>
      <w:r>
        <w:rPr>
          <w:rFonts w:ascii="Times New Roman" w:hAnsi="Times New Roman" w:eastAsia="Times New Roman" w:cs="Times New Roman"/>
          <w:sz w:val="35"/>
          <w:szCs w:val="35"/>
          <w:spacing w:val="-51"/>
        </w:rPr>
        <w:t xml:space="preserve"> </w:t>
      </w:r>
      <w:r>
        <w:rPr>
          <w:rFonts w:ascii="SimSun" w:hAnsi="SimSun" w:eastAsia="SimSun" w:cs="SimSun"/>
          <w:sz w:val="35"/>
          <w:szCs w:val="35"/>
          <w:spacing w:val="-10"/>
        </w:rPr>
        <w:t>、</w:t>
      </w:r>
      <w:r>
        <w:rPr>
          <w:rFonts w:ascii="Times New Roman" w:hAnsi="Times New Roman" w:eastAsia="Times New Roman" w:cs="Times New Roman"/>
          <w:sz w:val="35"/>
          <w:szCs w:val="35"/>
          <w:spacing w:val="-10"/>
        </w:rPr>
        <w:t>B</w:t>
      </w:r>
      <w:r>
        <w:rPr>
          <w:rFonts w:ascii="FangSong" w:hAnsi="FangSong" w:eastAsia="FangSong" w:cs="FangSong"/>
          <w:sz w:val="35"/>
          <w:szCs w:val="35"/>
          <w:spacing w:val="-10"/>
        </w:rPr>
        <w:t>类，分别奖励30分、15分、10分。</w:t>
      </w:r>
    </w:p>
    <w:p>
      <w:pPr>
        <w:ind w:left="649"/>
        <w:spacing w:before="3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二、综合素质部分</w:t>
      </w:r>
    </w:p>
    <w:p>
      <w:pPr>
        <w:ind w:left="799"/>
        <w:spacing w:before="177" w:line="220" w:lineRule="auto"/>
        <w:rPr>
          <w:rFonts w:ascii="KaiTi" w:hAnsi="KaiTi" w:eastAsia="KaiTi" w:cs="KaiTi"/>
          <w:sz w:val="33"/>
          <w:szCs w:val="33"/>
        </w:rPr>
      </w:pPr>
      <w:r>
        <w:rPr>
          <w:rFonts w:ascii="KaiTi" w:hAnsi="KaiTi" w:eastAsia="KaiTi" w:cs="KaiTi"/>
          <w:sz w:val="33"/>
          <w:szCs w:val="33"/>
          <w:spacing w:val="4"/>
        </w:rPr>
        <w:t>(一)参军入伍服兵役类，奖励分累计不超过40</w:t>
      </w:r>
      <w:r>
        <w:rPr>
          <w:rFonts w:ascii="KaiTi" w:hAnsi="KaiTi" w:eastAsia="KaiTi" w:cs="KaiTi"/>
          <w:sz w:val="33"/>
          <w:szCs w:val="33"/>
          <w:spacing w:val="3"/>
        </w:rPr>
        <w:t>分。</w:t>
      </w:r>
    </w:p>
    <w:p>
      <w:pPr>
        <w:ind w:right="144" w:firstLine="649"/>
        <w:spacing w:before="178" w:line="314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14"/>
        </w:rPr>
        <w:t>学生圆满完成服兵役任务的奖励20分；在部队荣立三等功或</w:t>
      </w:r>
      <w:r>
        <w:rPr>
          <w:rFonts w:ascii="FangSong" w:hAnsi="FangSong" w:eastAsia="FangSong" w:cs="FangSong"/>
          <w:sz w:val="33"/>
          <w:szCs w:val="33"/>
          <w:spacing w:val="5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4"/>
        </w:rPr>
        <w:t>其他较大荣誉表彰的奖励10分。在部队荣立二等功以上的，其推</w:t>
      </w:r>
      <w:r>
        <w:rPr>
          <w:rFonts w:ascii="FangSong" w:hAnsi="FangSong" w:eastAsia="FangSong" w:cs="FangSong"/>
          <w:sz w:val="33"/>
          <w:szCs w:val="33"/>
          <w:spacing w:val="15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5"/>
        </w:rPr>
        <w:t>免资格认定与推荐流程根据《教育部办公厅关于进一步做好高校学</w:t>
      </w:r>
      <w:r>
        <w:rPr>
          <w:rFonts w:ascii="FangSong" w:hAnsi="FangSong" w:eastAsia="FangSong" w:cs="FangSong"/>
          <w:sz w:val="33"/>
          <w:szCs w:val="33"/>
          <w:spacing w:val="11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2"/>
        </w:rPr>
        <w:t>生参军入伍工作的通知》(教学厅〔2015〕3号)文件执行。</w:t>
      </w:r>
    </w:p>
    <w:p>
      <w:pPr>
        <w:ind w:left="799"/>
        <w:spacing w:before="13" w:line="220" w:lineRule="auto"/>
        <w:rPr>
          <w:rFonts w:ascii="KaiTi" w:hAnsi="KaiTi" w:eastAsia="KaiTi" w:cs="KaiTi"/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spacing w:val="13"/>
        </w:rPr>
        <w:t>(二)参加志愿服务类，奖励分累计不超过30分。</w:t>
      </w:r>
    </w:p>
    <w:p>
      <w:pPr>
        <w:ind w:right="7" w:firstLine="649"/>
        <w:spacing w:before="193" w:line="309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21"/>
        </w:rPr>
        <w:t>学生在校期间，经学校推荐，获中国青年志愿者优秀个人奖、</w:t>
      </w:r>
      <w:r>
        <w:rPr>
          <w:rFonts w:ascii="FangSong" w:hAnsi="FangSong" w:eastAsia="FangSong" w:cs="FangSong"/>
          <w:sz w:val="33"/>
          <w:szCs w:val="33"/>
          <w:spacing w:val="1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"/>
        </w:rPr>
        <w:t>湖北省青年志愿者优秀个人奖的，分别奖励</w:t>
      </w:r>
      <w:r>
        <w:rPr>
          <w:rFonts w:ascii="FangSong" w:hAnsi="FangSong" w:eastAsia="FangSong" w:cs="FangSong"/>
          <w:sz w:val="33"/>
          <w:szCs w:val="33"/>
          <w:spacing w:val="-2"/>
        </w:rPr>
        <w:t>30分、20分。</w:t>
      </w:r>
    </w:p>
    <w:p>
      <w:pPr>
        <w:ind w:left="799"/>
        <w:spacing w:line="220" w:lineRule="auto"/>
        <w:rPr>
          <w:rFonts w:ascii="KaiTi" w:hAnsi="KaiTi" w:eastAsia="KaiTi" w:cs="KaiTi"/>
          <w:sz w:val="33"/>
          <w:szCs w:val="33"/>
        </w:rPr>
      </w:pPr>
      <w:r>
        <w:rPr>
          <w:rFonts w:ascii="KaiTi" w:hAnsi="KaiTi" w:eastAsia="KaiTi" w:cs="KaiTi"/>
          <w:sz w:val="33"/>
          <w:szCs w:val="33"/>
          <w:spacing w:val="4"/>
        </w:rPr>
        <w:t>(三)到国际组织实习类，奖励分累计不超过30</w:t>
      </w:r>
      <w:r>
        <w:rPr>
          <w:rFonts w:ascii="KaiTi" w:hAnsi="KaiTi" w:eastAsia="KaiTi" w:cs="KaiTi"/>
          <w:sz w:val="33"/>
          <w:szCs w:val="33"/>
          <w:spacing w:val="3"/>
        </w:rPr>
        <w:t>分。</w:t>
      </w:r>
    </w:p>
    <w:p>
      <w:pPr>
        <w:ind w:right="118" w:firstLine="649"/>
        <w:spacing w:before="192" w:line="310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7"/>
        </w:rPr>
        <w:t>学生在校期间，经学校组织派出，参加国际组织(以人力资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5"/>
        </w:rPr>
        <w:t>源和社会保障部“国际组织人才信息服务平台”公布的国际组织</w:t>
      </w:r>
      <w:r>
        <w:rPr>
          <w:rFonts w:ascii="FangSong" w:hAnsi="FangSong" w:eastAsia="FangSong" w:cs="FangSong"/>
          <w:sz w:val="33"/>
          <w:szCs w:val="33"/>
          <w:spacing w:val="12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"/>
        </w:rPr>
        <w:t>名单为准)实习满3个月及以上的，并达到实习考核目标，奖励</w:t>
      </w:r>
      <w:r>
        <w:rPr>
          <w:rFonts w:ascii="FangSong" w:hAnsi="FangSong" w:eastAsia="FangSong" w:cs="FangSong"/>
          <w:sz w:val="33"/>
          <w:szCs w:val="33"/>
          <w:spacing w:val="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7"/>
        </w:rPr>
        <w:t>10分。</w:t>
      </w:r>
    </w:p>
    <w:p>
      <w:pPr>
        <w:pStyle w:val="BodyText"/>
        <w:spacing w:line="258" w:lineRule="auto"/>
        <w:rPr/>
      </w:pPr>
      <w:r/>
    </w:p>
    <w:p>
      <w:pPr>
        <w:pStyle w:val="BodyText"/>
        <w:spacing w:line="258" w:lineRule="auto"/>
        <w:rPr/>
      </w:pPr>
      <w:r/>
    </w:p>
    <w:p>
      <w:pPr>
        <w:pStyle w:val="BodyText"/>
        <w:spacing w:line="258" w:lineRule="auto"/>
        <w:rPr/>
      </w:pPr>
      <w:r/>
    </w:p>
    <w:p>
      <w:pPr>
        <w:pStyle w:val="BodyText"/>
        <w:spacing w:line="258" w:lineRule="auto"/>
        <w:rPr/>
      </w:pPr>
      <w:r/>
    </w:p>
    <w:p>
      <w:pPr>
        <w:pStyle w:val="BodyText"/>
        <w:spacing w:line="259" w:lineRule="auto"/>
        <w:rPr/>
      </w:pPr>
      <w:r/>
    </w:p>
    <w:p>
      <w:pPr>
        <w:pStyle w:val="BodyText"/>
        <w:spacing w:line="259" w:lineRule="auto"/>
        <w:rPr/>
      </w:pPr>
      <w:r/>
    </w:p>
    <w:p>
      <w:pPr>
        <w:pStyle w:val="BodyText"/>
        <w:spacing w:line="259" w:lineRule="auto"/>
        <w:rPr/>
      </w:pPr>
      <w:r/>
    </w:p>
    <w:p>
      <w:pPr>
        <w:pStyle w:val="BodyText"/>
        <w:spacing w:line="259" w:lineRule="auto"/>
        <w:rPr/>
      </w:pPr>
      <w:r/>
    </w:p>
    <w:p>
      <w:pPr>
        <w:pStyle w:val="BodyText"/>
        <w:spacing w:line="259" w:lineRule="auto"/>
        <w:rPr/>
      </w:pPr>
      <w:r/>
    </w:p>
    <w:p>
      <w:pPr>
        <w:pStyle w:val="BodyText"/>
        <w:spacing w:line="259" w:lineRule="auto"/>
        <w:rPr/>
      </w:pPr>
      <w:r/>
    </w:p>
    <w:p>
      <w:pPr>
        <w:pStyle w:val="BodyText"/>
        <w:spacing w:line="259" w:lineRule="auto"/>
        <w:rPr/>
      </w:pPr>
      <w:r/>
    </w:p>
    <w:p>
      <w:pPr>
        <w:pStyle w:val="BodyText"/>
        <w:spacing w:line="259" w:lineRule="auto"/>
        <w:rPr/>
      </w:pPr>
      <w:r>
        <w:pict>
          <v:shape id="_x0000_s2" style="position:absolute;margin-left:6.24667pt;margin-top:11.3133pt;mso-position-vertical-relative:text;mso-position-horizontal-relative:text;width:443.5pt;height:0.5pt;z-index:251669504;" filled="false" strokecolor="#000000" strokeweight="0.50pt" coordsize="8870,10" coordorigin="0,0" path="m0,5l3709,5m3709,5l8869,5e">
            <v:stroke joinstyle="miter" miterlimit="10"/>
          </v:shape>
        </w:pict>
      </w:r>
      <w:r/>
    </w:p>
    <w:p>
      <w:pPr>
        <w:spacing w:before="98" w:line="219" w:lineRule="auto"/>
        <w:jc w:val="right"/>
        <w:rPr>
          <w:rFonts w:ascii="SimSun" w:hAnsi="SimSun" w:eastAsia="SimSun" w:cs="SimSun"/>
          <w:sz w:val="30"/>
          <w:szCs w:val="30"/>
        </w:rPr>
      </w:pPr>
      <w:r>
        <w:pict>
          <v:shape id="_x0000_s4" style="position:absolute;margin-left:6.24667pt;margin-top:25.2779pt;mso-position-vertical-relative:text;mso-position-horizontal-relative:text;width:443.5pt;height:0.5pt;z-index:251670528;" filled="false" strokecolor="#000000" strokeweight="0.50pt" coordsize="8870,10" coordorigin="0,0" path="m0,5l3709,5m3709,5l8869,5e">
            <v:stroke joinstyle="miter" miterlimit="10"/>
          </v:shape>
        </w:pict>
      </w:r>
      <w:r>
        <w:rPr>
          <w:rFonts w:ascii="SimSun" w:hAnsi="SimSun" w:eastAsia="SimSun" w:cs="SimSun"/>
          <w:sz w:val="30"/>
          <w:szCs w:val="30"/>
          <w:spacing w:val="1"/>
        </w:rPr>
        <w:t>江汉大学学校办公室</w:t>
      </w:r>
      <w:r>
        <w:rPr>
          <w:rFonts w:ascii="SimSun" w:hAnsi="SimSun" w:eastAsia="SimSun" w:cs="SimSun"/>
          <w:sz w:val="30"/>
          <w:szCs w:val="30"/>
          <w:spacing w:val="6"/>
        </w:rPr>
        <w:t xml:space="preserve">                    </w:t>
      </w:r>
      <w:r>
        <w:rPr>
          <w:rFonts w:ascii="SimSun" w:hAnsi="SimSun" w:eastAsia="SimSun" w:cs="SimSun"/>
          <w:sz w:val="30"/>
          <w:szCs w:val="30"/>
          <w:spacing w:val="5"/>
        </w:rPr>
        <w:t xml:space="preserve">    </w:t>
      </w:r>
      <w:r>
        <w:rPr>
          <w:rFonts w:ascii="SimSun" w:hAnsi="SimSun" w:eastAsia="SimSun" w:cs="SimSun"/>
          <w:sz w:val="30"/>
          <w:szCs w:val="30"/>
          <w:spacing w:val="1"/>
        </w:rPr>
        <w:t>2025年9月5日印发</w:t>
      </w:r>
    </w:p>
    <w:sectPr>
      <w:footerReference w:type="default" r:id="rId13"/>
      <w:pgSz w:w="11910" w:h="16840"/>
      <w:pgMar w:top="1431" w:right="1447" w:bottom="1636" w:left="1460" w:header="0" w:footer="1322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233" w:lineRule="auto"/>
      <w:rPr>
        <w:rFonts w:ascii="SimSun" w:hAnsi="SimSun" w:eastAsia="SimSun" w:cs="SimSun"/>
        <w:sz w:val="25"/>
        <w:szCs w:val="25"/>
      </w:rPr>
    </w:pPr>
    <w:r>
      <w:rPr>
        <w:rFonts w:ascii="SimSun" w:hAnsi="SimSun" w:eastAsia="SimSun" w:cs="SimSun"/>
        <w:sz w:val="25"/>
        <w:szCs w:val="25"/>
        <w:spacing w:val="-3"/>
      </w:rPr>
      <w:t>—</w:t>
    </w:r>
    <w:r>
      <w:rPr>
        <w:rFonts w:ascii="SimSun" w:hAnsi="SimSun" w:eastAsia="SimSun" w:cs="SimSun"/>
        <w:sz w:val="25"/>
        <w:szCs w:val="25"/>
        <w:strike/>
        <w:spacing w:val="-3"/>
      </w:rPr>
      <w:t>2</w:t>
    </w:r>
    <w:r>
      <w:rPr>
        <w:rFonts w:ascii="SimSun" w:hAnsi="SimSun" w:eastAsia="SimSun" w:cs="SimSun"/>
        <w:sz w:val="25"/>
        <w:szCs w:val="25"/>
        <w:spacing w:val="-3"/>
      </w:rPr>
      <w:t>—</w:t>
    </w:r>
    <w:r>
      <w:rPr>
        <w:rFonts w:ascii="SimSun" w:hAnsi="SimSun" w:eastAsia="SimSun" w:cs="SimSun"/>
        <w:sz w:val="25"/>
        <w:szCs w:val="25"/>
        <w:strike/>
      </w:rPr>
      <w:t xml:space="preserve">   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049"/>
      <w:spacing w:line="231" w:lineRule="auto"/>
      <w:rPr>
        <w:rFonts w:ascii="SimSun" w:hAnsi="SimSun" w:eastAsia="SimSun" w:cs="SimSun"/>
        <w:sz w:val="23"/>
        <w:szCs w:val="23"/>
      </w:rPr>
    </w:pPr>
    <w:r>
      <w:rPr>
        <w:rFonts w:ascii="SimSun" w:hAnsi="SimSun" w:eastAsia="SimSun" w:cs="SimSun"/>
        <w:sz w:val="23"/>
        <w:szCs w:val="23"/>
        <w:strike/>
        <w:spacing w:val="-3"/>
      </w:rPr>
      <w:t>—3</w:t>
    </w:r>
    <w:r>
      <w:rPr>
        <w:rFonts w:ascii="SimSun" w:hAnsi="SimSun" w:eastAsia="SimSun" w:cs="SimSun"/>
        <w:sz w:val="23"/>
        <w:szCs w:val="23"/>
        <w:spacing w:val="-3"/>
      </w:rPr>
      <w:t>—</w:t>
    </w:r>
    <w:r>
      <w:rPr>
        <w:rFonts w:ascii="SimSun" w:hAnsi="SimSun" w:eastAsia="SimSun" w:cs="SimSun"/>
        <w:sz w:val="23"/>
        <w:szCs w:val="23"/>
        <w:strike/>
      </w:rPr>
      <w:t xml:space="preserve">   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80" w:lineRule="auto"/>
      <w:rPr>
        <w:rFonts w:ascii="Times New Roman" w:hAnsi="Times New Roman" w:eastAsia="Times New Roman" w:cs="Times New Roman"/>
        <w:sz w:val="27"/>
        <w:szCs w:val="27"/>
      </w:rPr>
    </w:pPr>
    <w:r>
      <w:rPr>
        <w:rFonts w:ascii="Times New Roman" w:hAnsi="Times New Roman" w:eastAsia="Times New Roman" w:cs="Times New Roman"/>
        <w:sz w:val="27"/>
        <w:szCs w:val="27"/>
        <w:spacing w:val="1"/>
      </w:rPr>
      <w:t>—</w:t>
    </w:r>
    <w:r>
      <w:rPr>
        <w:rFonts w:ascii="Times New Roman" w:hAnsi="Times New Roman" w:eastAsia="Times New Roman" w:cs="Times New Roman"/>
        <w:sz w:val="27"/>
        <w:szCs w:val="27"/>
        <w:spacing w:val="8"/>
      </w:rPr>
      <w:t xml:space="preserve"> </w:t>
    </w:r>
    <w:r>
      <w:rPr>
        <w:rFonts w:ascii="Times New Roman" w:hAnsi="Times New Roman" w:eastAsia="Times New Roman" w:cs="Times New Roman"/>
        <w:sz w:val="27"/>
        <w:szCs w:val="27"/>
        <w:spacing w:val="1"/>
      </w:rPr>
      <w:t>4</w:t>
    </w:r>
    <w:r>
      <w:rPr>
        <w:rFonts w:ascii="Times New Roman" w:hAnsi="Times New Roman" w:eastAsia="Times New Roman" w:cs="Times New Roman"/>
        <w:sz w:val="27"/>
        <w:szCs w:val="27"/>
        <w:spacing w:val="12"/>
      </w:rPr>
      <w:t xml:space="preserve"> </w:t>
    </w:r>
    <w:r>
      <w:rPr>
        <w:rFonts w:ascii="Times New Roman" w:hAnsi="Times New Roman" w:eastAsia="Times New Roman" w:cs="Times New Roman"/>
        <w:sz w:val="27"/>
        <w:szCs w:val="27"/>
        <w:spacing w:val="1"/>
      </w:rPr>
      <w:t>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049"/>
      <w:spacing w:line="232" w:lineRule="auto"/>
      <w:rPr>
        <w:rFonts w:ascii="SimSun" w:hAnsi="SimSun" w:eastAsia="SimSun" w:cs="SimSun"/>
        <w:sz w:val="25"/>
        <w:szCs w:val="25"/>
      </w:rPr>
    </w:pPr>
    <w:r>
      <w:rPr>
        <w:rFonts w:ascii="SimSun" w:hAnsi="SimSun" w:eastAsia="SimSun" w:cs="SimSun"/>
        <w:sz w:val="25"/>
        <w:szCs w:val="25"/>
        <w:spacing w:val="-3"/>
      </w:rPr>
      <w:t>—</w:t>
    </w:r>
    <w:r>
      <w:rPr>
        <w:rFonts w:ascii="SimSun" w:hAnsi="SimSun" w:eastAsia="SimSun" w:cs="SimSun"/>
        <w:sz w:val="25"/>
        <w:szCs w:val="25"/>
        <w:strike/>
        <w:spacing w:val="-3"/>
      </w:rPr>
      <w:t>5</w:t>
    </w:r>
    <w:r>
      <w:rPr>
        <w:rFonts w:ascii="SimSun" w:hAnsi="SimSun" w:eastAsia="SimSun" w:cs="SimSun"/>
        <w:sz w:val="25"/>
        <w:szCs w:val="25"/>
        <w:spacing w:val="-3"/>
      </w:rPr>
      <w:t>—</w:t>
    </w:r>
    <w:r>
      <w:rPr>
        <w:rFonts w:ascii="SimSun" w:hAnsi="SimSun" w:eastAsia="SimSun" w:cs="SimSun"/>
        <w:sz w:val="25"/>
        <w:szCs w:val="25"/>
        <w:strike/>
      </w:rPr>
      <w:t xml:space="preserve">   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5"/>
      <w:spacing w:line="231" w:lineRule="auto"/>
      <w:rPr>
        <w:rFonts w:ascii="SimSun" w:hAnsi="SimSun" w:eastAsia="SimSun" w:cs="SimSun"/>
        <w:sz w:val="22"/>
        <w:szCs w:val="22"/>
      </w:rPr>
    </w:pPr>
    <w:r>
      <w:rPr>
        <w:rFonts w:ascii="SimSun" w:hAnsi="SimSun" w:eastAsia="SimSun" w:cs="SimSun"/>
        <w:sz w:val="22"/>
        <w:szCs w:val="22"/>
        <w:strike/>
        <w:spacing w:val="-3"/>
      </w:rPr>
      <w:t>—6</w:t>
    </w:r>
    <w:r>
      <w:rPr>
        <w:rFonts w:ascii="SimSun" w:hAnsi="SimSun" w:eastAsia="SimSun" w:cs="SimSun"/>
        <w:sz w:val="22"/>
        <w:szCs w:val="22"/>
        <w:spacing w:val="-3"/>
      </w:rPr>
      <w:t>—</w:t>
    </w:r>
    <w:r>
      <w:rPr>
        <w:rFonts w:ascii="SimSun" w:hAnsi="SimSun" w:eastAsia="SimSun" w:cs="SimSun"/>
        <w:sz w:val="22"/>
        <w:szCs w:val="22"/>
        <w:spacing w:val="-102"/>
      </w:rPr>
      <w:t xml:space="preserve"> </w:t>
    </w:r>
    <w:r>
      <w:rPr>
        <w:rFonts w:ascii="SimSun" w:hAnsi="SimSun" w:eastAsia="SimSun" w:cs="SimSun"/>
        <w:sz w:val="22"/>
        <w:szCs w:val="22"/>
        <w:strike/>
      </w:rPr>
      <w:t xml:space="preserve">   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059"/>
      <w:spacing w:before="1" w:line="231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3"/>
      </w:rPr>
      <w:t>—</w:t>
    </w:r>
    <w:r>
      <w:rPr>
        <w:rFonts w:ascii="SimSun" w:hAnsi="SimSun" w:eastAsia="SimSun" w:cs="SimSun"/>
        <w:sz w:val="24"/>
        <w:szCs w:val="24"/>
        <w:strike/>
        <w:spacing w:val="-3"/>
      </w:rPr>
      <w:t>7</w:t>
    </w:r>
    <w:r>
      <w:rPr>
        <w:rFonts w:ascii="SimSun" w:hAnsi="SimSun" w:eastAsia="SimSun" w:cs="SimSun"/>
        <w:sz w:val="24"/>
        <w:szCs w:val="24"/>
        <w:spacing w:val="-3"/>
      </w:rPr>
      <w:t>—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1" w:line="231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3"/>
      </w:rPr>
      <w:t>—</w:t>
    </w:r>
    <w:r>
      <w:rPr>
        <w:rFonts w:ascii="SimSun" w:hAnsi="SimSun" w:eastAsia="SimSun" w:cs="SimSun"/>
        <w:sz w:val="24"/>
        <w:szCs w:val="24"/>
        <w:strike/>
        <w:spacing w:val="-3"/>
      </w:rPr>
      <w:t>8</w:t>
    </w:r>
    <w:r>
      <w:rPr>
        <w:rFonts w:ascii="SimSun" w:hAnsi="SimSun" w:eastAsia="SimSun" w:cs="SimSun"/>
        <w:sz w:val="24"/>
        <w:szCs w:val="24"/>
        <w:spacing w:val="-3"/>
      </w:rPr>
      <w:t>—</w:t>
    </w:r>
    <w:r>
      <w:rPr>
        <w:rFonts w:ascii="SimSun" w:hAnsi="SimSun" w:eastAsia="SimSun" w:cs="SimSun"/>
        <w:sz w:val="24"/>
        <w:szCs w:val="24"/>
        <w:strike/>
      </w:rPr>
      <w:t xml:space="preserve">   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069"/>
      <w:spacing w:line="232" w:lineRule="auto"/>
      <w:rPr>
        <w:rFonts w:ascii="SimSun" w:hAnsi="SimSun" w:eastAsia="SimSun" w:cs="SimSun"/>
        <w:sz w:val="25"/>
        <w:szCs w:val="25"/>
      </w:rPr>
    </w:pPr>
    <w:r>
      <w:rPr>
        <w:rFonts w:ascii="SimSun" w:hAnsi="SimSun" w:eastAsia="SimSun" w:cs="SimSun"/>
        <w:sz w:val="25"/>
        <w:szCs w:val="25"/>
        <w:strike/>
        <w:spacing w:val="-3"/>
      </w:rPr>
      <w:t>—9—</w:t>
    </w:r>
    <w:r>
      <w:rPr>
        <w:rFonts w:ascii="SimSun" w:hAnsi="SimSun" w:eastAsia="SimSun" w:cs="SimSun"/>
        <w:sz w:val="25"/>
        <w:szCs w:val="25"/>
        <w:strike/>
      </w:rPr>
      <w:t xml:space="preserve">   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1" w:line="231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2"/>
      </w:rPr>
      <w:t>—</w:t>
    </w:r>
    <w:r>
      <w:rPr>
        <w:rFonts w:ascii="SimSun" w:hAnsi="SimSun" w:eastAsia="SimSun" w:cs="SimSun"/>
        <w:sz w:val="24"/>
        <w:szCs w:val="24"/>
        <w:strike/>
        <w:spacing w:val="-2"/>
      </w:rPr>
      <w:t>1</w:t>
    </w:r>
    <w:r>
      <w:rPr>
        <w:rFonts w:ascii="SimSun" w:hAnsi="SimSun" w:eastAsia="SimSun" w:cs="SimSun"/>
        <w:sz w:val="24"/>
        <w:szCs w:val="24"/>
        <w:spacing w:val="-2"/>
      </w:rPr>
      <w:t>0—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929"/>
      <w:spacing w:line="233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2"/>
      </w:rPr>
      <w:t>—11—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233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2"/>
      </w:rPr>
      <w:t>—12—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image" Target="media/image2.png"/><Relationship Id="rId16" Type="http://schemas.openxmlformats.org/officeDocument/2006/relationships/fontTable" Target="fontTable.xml"/><Relationship Id="rId15" Type="http://schemas.openxmlformats.org/officeDocument/2006/relationships/styles" Target="styles.xml"/><Relationship Id="rId14" Type="http://schemas.openxmlformats.org/officeDocument/2006/relationships/settings" Target="settings.xml"/><Relationship Id="rId13" Type="http://schemas.openxmlformats.org/officeDocument/2006/relationships/footer" Target="footer11.xml"/><Relationship Id="rId12" Type="http://schemas.openxmlformats.org/officeDocument/2006/relationships/footer" Target="footer10.xml"/><Relationship Id="rId11" Type="http://schemas.openxmlformats.org/officeDocument/2006/relationships/footer" Target="footer9.xml"/><Relationship Id="rId10" Type="http://schemas.openxmlformats.org/officeDocument/2006/relationships/footer" Target="footer8.xml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2026-09-11T17:08:23Z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2026-09-11T17:08:24</vt:filetime>
  </property>
  <property fmtid="{D5CDD505-2E9C-101B-9397-08002B2CF9AE}" pid="4" name="UsrData">
    <vt:lpwstr>6aa3c505084e99002090393dwl</vt:lpwstr>
  </property>
</Properties>
</file>