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成都中医药大学现代中药产业学院2026年接收推荐免试攻读硕士学位研究生实施办法</w:t>
      </w:r>
    </w:p>
    <w:p>
      <w:pPr>
        <w:spacing w:after="80" w:lineRule="auto" w:line="360"/>
        <w:ind w:firstLine="482"/>
        <w:jc w:val="both"/>
      </w:pPr>
      <w:r>
        <w:rPr>
          <w:rFonts w:ascii="Times New Roman" w:hAnsi="Times New Roman" w:eastAsia="宋体"/>
          <w:b w:val="0"/>
          <w:sz w:val="24"/>
        </w:rPr>
        <w:t>成都中医药大学现代中药产业学院2026年接收推荐免试攻读硕士学位研究生实施办法</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一、接收专业及名额</w:t>
      </w:r>
    </w:p>
    <w:p>
      <w:pPr>
        <w:spacing w:after="80" w:lineRule="auto" w:line="360"/>
        <w:ind w:firstLine="482"/>
        <w:jc w:val="both"/>
      </w:pPr>
      <w:r>
        <w:rPr>
          <w:rFonts w:ascii="Times New Roman" w:hAnsi="Times New Roman" w:eastAsia="宋体"/>
          <w:b w:val="0"/>
          <w:sz w:val="24"/>
        </w:rPr>
        <w:t>1. 2026年现代中药产业学院接收推荐免试攻读硕士学位研究生专业目录及名额如下：</w:t>
      </w:r>
    </w:p>
    <w:p>
      <w:pPr>
        <w:spacing w:after="80" w:lineRule="auto" w:line="360"/>
        <w:ind w:firstLine="482"/>
        <w:jc w:val="both"/>
      </w:pPr>
      <w:r>
        <w:rPr>
          <w:rFonts w:ascii="Times New Roman" w:hAnsi="Times New Roman" w:eastAsia="宋体"/>
          <w:b w:val="0"/>
          <w:sz w:val="24"/>
        </w:rPr>
        <w:t>2. 105600中药学专业，拟招生名额共36人，具体方向及名额为：</w:t>
      </w:r>
    </w:p>
    <w:p>
      <w:pPr>
        <w:spacing w:after="80" w:lineRule="auto" w:line="360"/>
        <w:ind w:firstLine="482"/>
        <w:jc w:val="both"/>
      </w:pPr>
      <w:r>
        <w:rPr>
          <w:rFonts w:ascii="Times New Roman" w:hAnsi="Times New Roman" w:eastAsia="宋体"/>
          <w:b w:val="0"/>
          <w:sz w:val="24"/>
        </w:rPr>
        <w:t>（1）01中药临床应用创新研究（全日制）：3人</w:t>
      </w:r>
    </w:p>
    <w:p>
      <w:pPr>
        <w:spacing w:after="80" w:lineRule="auto" w:line="360"/>
        <w:ind w:firstLine="482"/>
        <w:jc w:val="both"/>
      </w:pPr>
      <w:r>
        <w:rPr>
          <w:rFonts w:ascii="Times New Roman" w:hAnsi="Times New Roman" w:eastAsia="宋体"/>
          <w:b w:val="0"/>
          <w:sz w:val="24"/>
        </w:rPr>
        <w:t>（2）02中药监管科学研究（全日制）：1人</w:t>
      </w:r>
    </w:p>
    <w:p>
      <w:pPr>
        <w:spacing w:after="80" w:lineRule="auto" w:line="360"/>
        <w:ind w:firstLine="482"/>
        <w:jc w:val="both"/>
      </w:pPr>
      <w:r>
        <w:rPr>
          <w:rFonts w:ascii="Times New Roman" w:hAnsi="Times New Roman" w:eastAsia="宋体"/>
          <w:b w:val="0"/>
          <w:sz w:val="24"/>
        </w:rPr>
        <w:t>（3）03中药化学有效成分与质量标准应用研究（全日制）：12人</w:t>
      </w:r>
    </w:p>
    <w:p>
      <w:pPr>
        <w:spacing w:after="80" w:lineRule="auto" w:line="360"/>
        <w:ind w:firstLine="482"/>
        <w:jc w:val="both"/>
      </w:pPr>
      <w:r>
        <w:rPr>
          <w:rFonts w:ascii="Times New Roman" w:hAnsi="Times New Roman" w:eastAsia="宋体"/>
          <w:b w:val="0"/>
          <w:sz w:val="24"/>
        </w:rPr>
        <w:t>（4）04中药新制剂、新剂型、新技术应用研究（全日制）：8人</w:t>
      </w:r>
    </w:p>
    <w:p>
      <w:pPr>
        <w:spacing w:after="80" w:lineRule="auto" w:line="360"/>
        <w:ind w:firstLine="482"/>
        <w:jc w:val="both"/>
      </w:pPr>
      <w:r>
        <w:rPr>
          <w:rFonts w:ascii="Times New Roman" w:hAnsi="Times New Roman" w:eastAsia="宋体"/>
          <w:b w:val="0"/>
          <w:sz w:val="24"/>
        </w:rPr>
        <w:t>（5）05中药品种、质量与资源开发应用研究（全日制）：7人</w:t>
      </w:r>
    </w:p>
    <w:p>
      <w:pPr>
        <w:spacing w:after="80" w:lineRule="auto" w:line="360"/>
        <w:ind w:firstLine="482"/>
        <w:jc w:val="both"/>
      </w:pPr>
      <w:r>
        <w:rPr>
          <w:rFonts w:ascii="Times New Roman" w:hAnsi="Times New Roman" w:eastAsia="宋体"/>
          <w:b w:val="0"/>
          <w:sz w:val="24"/>
        </w:rPr>
        <w:t>（6）06中药药效和毒理应用研究（全日制）：5人</w:t>
      </w:r>
    </w:p>
    <w:p>
      <w:pPr>
        <w:spacing w:after="80" w:lineRule="auto" w:line="360"/>
        <w:ind w:firstLine="482"/>
        <w:jc w:val="both"/>
      </w:pPr>
      <w:r>
        <w:rPr>
          <w:rFonts w:ascii="Times New Roman" w:hAnsi="Times New Roman" w:eastAsia="宋体"/>
          <w:b w:val="0"/>
          <w:sz w:val="24"/>
        </w:rPr>
        <w:t>3. 086000生物与医药专业，01制药工程方向（全日制）：1人</w:t>
      </w:r>
    </w:p>
    <w:p>
      <w:pPr>
        <w:spacing w:before="160" w:after="80" w:lineRule="auto" w:line="360"/>
        <w:jc w:val="left"/>
      </w:pPr>
      <w:r>
        <w:rPr>
          <w:rFonts w:ascii="Times New Roman" w:hAnsi="Times New Roman" w:eastAsia="宋体"/>
          <w:b/>
          <w:sz w:val="28"/>
        </w:rPr>
        <w:t>二、实施办法依据</w:t>
      </w:r>
    </w:p>
    <w:p>
      <w:pPr>
        <w:spacing w:after="80" w:lineRule="auto" w:line="360"/>
        <w:ind w:firstLine="482"/>
        <w:jc w:val="both"/>
      </w:pPr>
      <w:r>
        <w:rPr>
          <w:rFonts w:ascii="Times New Roman" w:hAnsi="Times New Roman" w:eastAsia="宋体"/>
          <w:b w:val="0"/>
          <w:sz w:val="24"/>
        </w:rPr>
        <w:t>1. 本实施办法根据《2026年成都中医药大学接收推荐免试研究生章程》文件精神制定。</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