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华中农业大学信息学院2025年推荐优秀应届本科毕业生免试攻读研究生遴选工作方案</w:t>
      </w:r>
    </w:p>
    <w:p>
      <w:pPr>
        <w:spacing w:after="80" w:lineRule="auto" w:line="360"/>
        <w:ind w:firstLine="482"/>
        <w:jc w:val="both"/>
      </w:pPr>
      <w:r>
        <w:rPr>
          <w:rFonts w:ascii="Times New Roman" w:hAnsi="Times New Roman" w:eastAsia="宋体"/>
          <w:b w:val="0"/>
          <w:sz w:val="24"/>
        </w:rPr>
        <w:t>根据教育部和《华中农业大学2025年推荐优秀应届本科毕业生免试攻读研究生推荐工作方案》等文件精神，为具体指导学院推荐优秀应届本科毕业生免试攻读研究生（以下简称“推免”）遴选工作，坚持公开公平公正、科学选拔、择优推荐的原则，制定本方案。</w:t>
      </w:r>
    </w:p>
    <w:p>
      <w:pPr>
        <w:spacing w:after="80" w:lineRule="auto" w:line="360"/>
        <w:ind w:firstLine="482"/>
        <w:jc w:val="both"/>
      </w:pPr>
      <w:r>
        <w:rPr>
          <w:rFonts w:ascii="Times New Roman" w:hAnsi="Times New Roman" w:eastAsia="宋体"/>
          <w:b w:val="0"/>
          <w:sz w:val="24"/>
        </w:rPr>
        <w:t>发布日期：2024年9月10日</w:t>
      </w:r>
    </w:p>
    <w:p>
      <w:pPr>
        <w:spacing w:before="160" w:after="80" w:lineRule="auto" w:line="360"/>
        <w:jc w:val="left"/>
      </w:pPr>
      <w:r>
        <w:rPr>
          <w:rFonts w:ascii="Times New Roman" w:hAnsi="Times New Roman" w:eastAsia="宋体"/>
          <w:b/>
          <w:sz w:val="28"/>
        </w:rPr>
        <w:t>一、工作机构</w:t>
      </w:r>
    </w:p>
    <w:p>
      <w:pPr>
        <w:spacing w:after="80" w:lineRule="auto" w:line="360"/>
        <w:ind w:firstLine="482"/>
        <w:jc w:val="both"/>
      </w:pPr>
      <w:r>
        <w:rPr>
          <w:rFonts w:ascii="Times New Roman" w:hAnsi="Times New Roman" w:eastAsia="宋体"/>
          <w:b w:val="0"/>
          <w:sz w:val="24"/>
        </w:rPr>
        <w:t>学院成立推免工作领导小组全面领导统筹“推免”工作，负责方案制定、政策解读、监督实施、申诉释疑等工作。</w:t>
      </w:r>
    </w:p>
    <w:p>
      <w:pPr>
        <w:spacing w:after="80" w:lineRule="auto" w:line="360"/>
        <w:ind w:firstLine="482"/>
        <w:jc w:val="both"/>
      </w:pPr>
      <w:r>
        <w:rPr>
          <w:rFonts w:ascii="Times New Roman" w:hAnsi="Times New Roman" w:eastAsia="宋体"/>
          <w:b w:val="0"/>
          <w:sz w:val="24"/>
        </w:rPr>
        <w:t>学院组建专家审核小组，负责对申请推免资格学生的科研创新成果、论文、竞赛获奖奖励及内容进行审核鉴定，成员应具有相关学科副教授及以上职称，一般不少于5人。</w:t>
      </w:r>
    </w:p>
    <w:p>
      <w:pPr>
        <w:spacing w:before="160" w:after="80" w:lineRule="auto" w:line="360"/>
        <w:jc w:val="left"/>
      </w:pPr>
      <w:r>
        <w:rPr>
          <w:rFonts w:ascii="Times New Roman" w:hAnsi="Times New Roman" w:eastAsia="宋体"/>
          <w:b/>
          <w:sz w:val="28"/>
        </w:rPr>
        <w:t>二、遴选办法</w:t>
      </w:r>
    </w:p>
    <w:p>
      <w:pPr>
        <w:spacing w:after="80" w:lineRule="auto" w:line="360"/>
        <w:ind w:firstLine="482"/>
        <w:jc w:val="both"/>
      </w:pPr>
      <w:r>
        <w:rPr>
          <w:rFonts w:ascii="Times New Roman" w:hAnsi="Times New Roman" w:eastAsia="宋体"/>
          <w:b w:val="0"/>
          <w:sz w:val="24"/>
        </w:rPr>
        <w:t>（一）遴选通道</w:t>
      </w:r>
    </w:p>
    <w:p>
      <w:pPr>
        <w:spacing w:after="80" w:lineRule="auto" w:line="360"/>
        <w:ind w:firstLine="482"/>
        <w:jc w:val="both"/>
      </w:pPr>
      <w:r>
        <w:rPr>
          <w:rFonts w:ascii="Times New Roman" w:hAnsi="Times New Roman" w:eastAsia="宋体"/>
          <w:b w:val="0"/>
          <w:sz w:val="24"/>
        </w:rPr>
        <w:t>学院坚持全面考察学生的政治素质、道德品质、心理素质、学习能力和科研潜质等，确保以德为先，科学遴选。“推免”指标按序次指标和参选指标两个通道进行遴选。</w:t>
      </w:r>
    </w:p>
    <w:p>
      <w:pPr>
        <w:spacing w:after="80" w:lineRule="auto" w:line="360"/>
        <w:ind w:firstLine="482"/>
        <w:jc w:val="both"/>
      </w:pPr>
      <w:r>
        <w:rPr>
          <w:rFonts w:ascii="Times New Roman" w:hAnsi="Times New Roman" w:eastAsia="宋体"/>
          <w:b w:val="0"/>
          <w:sz w:val="24"/>
        </w:rPr>
        <w:t>序次指标根据应届毕业生人数比例（四舍五入取整）分配到各专业，由符合基本条件的学生申请。审评小组进行资格审核后，依据学业成绩排名从高到低依次遴选。</w:t>
      </w:r>
    </w:p>
    <w:p>
      <w:pPr>
        <w:spacing w:after="80" w:lineRule="auto" w:line="360"/>
        <w:ind w:firstLine="482"/>
        <w:jc w:val="both"/>
      </w:pPr>
      <w:r>
        <w:rPr>
          <w:rFonts w:ascii="Times New Roman" w:hAnsi="Times New Roman" w:eastAsia="宋体"/>
          <w:b w:val="0"/>
          <w:sz w:val="24"/>
        </w:rPr>
        <w:t>参选指标不分配到专业，由具备参选条件的学生申请。审评小组组织学生进行成果鉴定，按得分标准（见附件）进行综合赋分，依据总成绩排名从高到低依次遴选。</w:t>
      </w:r>
    </w:p>
    <w:p>
      <w:pPr>
        <w:spacing w:after="80" w:lineRule="auto" w:line="360"/>
        <w:ind w:firstLine="482"/>
        <w:jc w:val="both"/>
      </w:pPr>
      <w:r>
        <w:rPr>
          <w:rFonts w:ascii="Times New Roman" w:hAnsi="Times New Roman" w:eastAsia="宋体"/>
          <w:b w:val="0"/>
          <w:sz w:val="24"/>
        </w:rPr>
        <w:t>前序学生放弃申请或被取消资格时，后序学生递补遴选。</w:t>
      </w:r>
    </w:p>
    <w:p>
      <w:pPr>
        <w:spacing w:after="80" w:lineRule="auto" w:line="360"/>
        <w:ind w:firstLine="482"/>
        <w:jc w:val="both"/>
      </w:pPr>
      <w:r>
        <w:rPr>
          <w:rFonts w:ascii="Times New Roman" w:hAnsi="Times New Roman" w:eastAsia="宋体"/>
          <w:b w:val="0"/>
          <w:sz w:val="24"/>
        </w:rPr>
        <w:t>（二）成绩算法</w:t>
      </w:r>
    </w:p>
    <w:p>
      <w:pPr>
        <w:spacing w:after="80" w:lineRule="auto" w:line="360"/>
        <w:ind w:firstLine="482"/>
        <w:jc w:val="both"/>
      </w:pPr>
      <w:r>
        <w:rPr>
          <w:rFonts w:ascii="Times New Roman" w:hAnsi="Times New Roman" w:eastAsia="宋体"/>
          <w:b w:val="0"/>
          <w:sz w:val="24"/>
        </w:rPr>
        <w:t>1. 序次指标学业成绩</w:t>
      </w:r>
    </w:p>
    <w:p>
      <w:pPr>
        <w:spacing w:after="80" w:lineRule="auto" w:line="360"/>
        <w:ind w:firstLine="482"/>
        <w:jc w:val="both"/>
      </w:pPr>
      <w:r>
        <w:rPr>
          <w:rFonts w:ascii="Times New Roman" w:hAnsi="Times New Roman" w:eastAsia="宋体"/>
          <w:b w:val="0"/>
          <w:sz w:val="24"/>
        </w:rPr>
        <w:t>生物信息学专业学业成绩 = GPA折算分</w:t>
      </w:r>
    </w:p>
    <w:p>
      <w:pPr>
        <w:spacing w:after="80" w:lineRule="auto" w:line="360"/>
        <w:ind w:firstLine="482"/>
        <w:jc w:val="both"/>
      </w:pPr>
      <w:r>
        <w:rPr>
          <w:rFonts w:ascii="Times New Roman" w:hAnsi="Times New Roman" w:eastAsia="宋体"/>
          <w:b w:val="0"/>
          <w:sz w:val="24"/>
        </w:rPr>
        <w:t>信息与计算科学专业学业成绩 = GPA折算分</w:t>
      </w:r>
    </w:p>
    <w:p>
      <w:pPr>
        <w:spacing w:after="80" w:lineRule="auto" w:line="360"/>
        <w:ind w:firstLine="482"/>
        <w:jc w:val="both"/>
      </w:pPr>
      <w:r>
        <w:rPr>
          <w:rFonts w:ascii="Times New Roman" w:hAnsi="Times New Roman" w:eastAsia="宋体"/>
          <w:b w:val="0"/>
          <w:sz w:val="24"/>
        </w:rPr>
        <w:t>专业学业成绩 = GPA折算分*80%+CSP折算分*20%</w:t>
      </w:r>
    </w:p>
    <w:p>
      <w:pPr>
        <w:spacing w:after="80" w:lineRule="auto" w:line="360"/>
        <w:ind w:firstLine="482"/>
        <w:jc w:val="both"/>
      </w:pPr>
      <w:r>
        <w:rPr>
          <w:rFonts w:ascii="Times New Roman" w:hAnsi="Times New Roman" w:eastAsia="宋体"/>
          <w:b w:val="0"/>
          <w:sz w:val="24"/>
        </w:rPr>
        <w:t>GPA第1名折算分100分，第n名学生的折算分 =（第n名学生GPA/第1名学生GPA）* 100。</w:t>
      </w:r>
    </w:p>
    <w:p>
      <w:pPr>
        <w:spacing w:after="80" w:lineRule="auto" w:line="360"/>
        <w:ind w:firstLine="482"/>
        <w:jc w:val="both"/>
      </w:pPr>
      <w:r>
        <w:rPr>
          <w:rFonts w:ascii="Times New Roman" w:hAnsi="Times New Roman" w:eastAsia="宋体"/>
          <w:b w:val="0"/>
          <w:sz w:val="24"/>
        </w:rPr>
        <w:t>CCF-500分折算为100分，第n名学生的折算分 =（第n名学生成绩/500）* 100。</w:t>
      </w:r>
    </w:p>
    <w:p>
      <w:pPr>
        <w:spacing w:after="80" w:lineRule="auto" w:line="360"/>
        <w:ind w:firstLine="482"/>
        <w:jc w:val="both"/>
      </w:pPr>
      <w:r>
        <w:rPr>
          <w:rFonts w:ascii="Times New Roman" w:hAnsi="Times New Roman" w:eastAsia="宋体"/>
          <w:b w:val="0"/>
          <w:sz w:val="24"/>
        </w:rPr>
        <w:t>2. 参选指标总成绩</w:t>
      </w:r>
    </w:p>
    <w:p>
      <w:pPr>
        <w:spacing w:after="80" w:lineRule="auto" w:line="360"/>
        <w:ind w:firstLine="482"/>
        <w:jc w:val="both"/>
      </w:pPr>
      <w:r>
        <w:rPr>
          <w:rFonts w:ascii="Times New Roman" w:hAnsi="Times New Roman" w:eastAsia="宋体"/>
          <w:b w:val="0"/>
          <w:sz w:val="24"/>
        </w:rPr>
        <w:t>总成绩 = GPA折算分*60%+综合分*40%</w:t>
      </w:r>
    </w:p>
    <w:p>
      <w:pPr>
        <w:spacing w:after="80" w:lineRule="auto" w:line="360"/>
        <w:ind w:firstLine="482"/>
        <w:jc w:val="both"/>
      </w:pPr>
      <w:r>
        <w:rPr>
          <w:rFonts w:ascii="Times New Roman" w:hAnsi="Times New Roman" w:eastAsia="宋体"/>
          <w:b w:val="0"/>
          <w:sz w:val="24"/>
        </w:rPr>
        <w:t>综合分满分100分，依据《2024年信息学院本科推免综合加分细则》。</w:t>
      </w:r>
    </w:p>
    <w:p>
      <w:pPr>
        <w:spacing w:after="80" w:lineRule="auto" w:line="360"/>
        <w:ind w:firstLine="482"/>
        <w:jc w:val="both"/>
      </w:pPr>
      <w:r>
        <w:rPr>
          <w:rFonts w:ascii="Times New Roman" w:hAnsi="Times New Roman" w:eastAsia="宋体"/>
          <w:b w:val="0"/>
          <w:sz w:val="24"/>
        </w:rPr>
        <w:t>（三）指标分配</w:t>
      </w:r>
    </w:p>
    <w:p>
      <w:pPr>
        <w:spacing w:after="80" w:lineRule="auto" w:line="360"/>
        <w:ind w:firstLine="482"/>
        <w:jc w:val="both"/>
      </w:pPr>
      <w:r>
        <w:rPr>
          <w:rFonts w:ascii="Times New Roman" w:hAnsi="Times New Roman" w:eastAsia="宋体"/>
          <w:b w:val="0"/>
          <w:sz w:val="24"/>
        </w:rPr>
        <w:t>今年学校分配学院推免指标总数70，其中包括工程硕博士指标1名。具体分配方案如下：</w:t>
      </w:r>
    </w:p>
    <w:p>
      <w:pPr>
        <w:spacing w:after="80" w:lineRule="auto" w:line="360"/>
        <w:ind w:firstLine="482"/>
        <w:jc w:val="both"/>
      </w:pPr>
      <w:r>
        <w:rPr>
          <w:rFonts w:ascii="Times New Roman" w:hAnsi="Times New Roman" w:eastAsia="宋体"/>
          <w:b w:val="0"/>
          <w:sz w:val="24"/>
        </w:rPr>
        <w:t>研究生支教团、辅导员专项、优良学风班等推免专项计划根据学校制定专项实施方案执行，不占学院分配指标。</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具有高尚的爱国主义情操和集体主义精神，理想信念坚定，社会责任感强，积极向上，身心健康。</w:t>
      </w:r>
    </w:p>
    <w:p>
      <w:pPr>
        <w:spacing w:after="80" w:lineRule="auto" w:line="360"/>
        <w:ind w:firstLine="482"/>
        <w:jc w:val="both"/>
      </w:pPr>
      <w:r>
        <w:rPr>
          <w:rFonts w:ascii="Times New Roman" w:hAnsi="Times New Roman" w:eastAsia="宋体"/>
          <w:b w:val="0"/>
          <w:sz w:val="24"/>
        </w:rPr>
        <w:t>2. 诚实守信，品行优良，无任何违法违纪受处分记录，无学术不端记录。</w:t>
      </w:r>
    </w:p>
    <w:p>
      <w:pPr>
        <w:spacing w:after="80" w:lineRule="auto" w:line="360"/>
        <w:ind w:firstLine="482"/>
        <w:jc w:val="both"/>
      </w:pPr>
      <w:r>
        <w:rPr>
          <w:rFonts w:ascii="Times New Roman" w:hAnsi="Times New Roman" w:eastAsia="宋体"/>
          <w:b w:val="0"/>
          <w:sz w:val="24"/>
        </w:rPr>
        <w:t>3. CET-4成绩合格（小语种学生达到本科毕业相关要求）。转专业政策转入下一年级的，不计转入前平均学分绩点（GPA）。专业排名原则上在前40%，新疆和西藏地区少数民族学生平均学分绩点（GPA）专业排名放宽至前45%。</w:t>
      </w:r>
    </w:p>
    <w:p>
      <w:pPr>
        <w:spacing w:after="80" w:lineRule="auto" w:line="360"/>
        <w:ind w:firstLine="482"/>
        <w:jc w:val="both"/>
      </w:pPr>
      <w:r>
        <w:rPr>
          <w:rFonts w:ascii="Times New Roman" w:hAnsi="Times New Roman" w:eastAsia="宋体"/>
          <w:b w:val="0"/>
          <w:sz w:val="24"/>
        </w:rPr>
        <w:t>（二）参选条件</w:t>
      </w:r>
    </w:p>
    <w:p>
      <w:pPr>
        <w:spacing w:after="80" w:lineRule="auto" w:line="360"/>
        <w:ind w:firstLine="482"/>
        <w:jc w:val="both"/>
      </w:pPr>
      <w:r>
        <w:rPr>
          <w:rFonts w:ascii="Times New Roman" w:hAnsi="Times New Roman" w:eastAsia="宋体"/>
          <w:b w:val="0"/>
          <w:sz w:val="24"/>
        </w:rPr>
        <w:t>符合上述基本条件，具备下列条件之一者，经本人申请，学院审核通过后，可获得参选资格。</w:t>
      </w:r>
    </w:p>
    <w:p>
      <w:pPr>
        <w:spacing w:after="80" w:lineRule="auto" w:line="360"/>
        <w:ind w:firstLine="482"/>
        <w:jc w:val="both"/>
      </w:pPr>
      <w:r>
        <w:rPr>
          <w:rFonts w:ascii="Times New Roman" w:hAnsi="Times New Roman" w:eastAsia="宋体"/>
          <w:b w:val="0"/>
          <w:sz w:val="24"/>
        </w:rPr>
        <w:t>1. 学业成绩排名在本专业“序次指标数*1.5”（取整）以内。</w:t>
      </w:r>
    </w:p>
    <w:p>
      <w:pPr>
        <w:spacing w:after="80" w:lineRule="auto" w:line="360"/>
        <w:ind w:firstLine="482"/>
        <w:jc w:val="both"/>
      </w:pPr>
      <w:r>
        <w:rPr>
          <w:rFonts w:ascii="Times New Roman" w:hAnsi="Times New Roman" w:eastAsia="宋体"/>
          <w:b w:val="0"/>
          <w:sz w:val="24"/>
        </w:rPr>
        <w:t>2. 大学期间以第一作者身份在中国计算机学会推荐国际学术会议和期刊、SCI、EI收录期刊上发表以华中农业大学教师或学生本人承担的课题为依托的学术论文（以2024年9月1日前出版或有正式录用通知为准），科研成果第一署名单位为华中农业大学。</w:t>
      </w:r>
    </w:p>
    <w:p>
      <w:pPr>
        <w:spacing w:after="80" w:lineRule="auto" w:line="360"/>
        <w:ind w:firstLine="482"/>
        <w:jc w:val="both"/>
      </w:pPr>
      <w:r>
        <w:rPr>
          <w:rFonts w:ascii="Times New Roman" w:hAnsi="Times New Roman" w:eastAsia="宋体"/>
          <w:b w:val="0"/>
          <w:sz w:val="24"/>
        </w:rPr>
        <w:t>3. 大学期间获“ACM”国际大学生程序设计竞赛中国赛区银奖（队长）、ASC世界大学生超级计算机竞赛一等奖（队长）、“iGEM”国际遗传工程机器设计竞赛金奖（队长）、全国大学生数学建模竞赛一等奖（队长）、大学期间参加美国大学生数学建模竞赛，获得Outstanding Winner，Finalist（队长或主持人）及以上奖励。</w:t>
      </w:r>
    </w:p>
    <w:p>
      <w:pPr>
        <w:spacing w:after="80" w:lineRule="auto" w:line="360"/>
        <w:ind w:firstLine="482"/>
        <w:jc w:val="both"/>
      </w:pPr>
      <w:r>
        <w:rPr>
          <w:rFonts w:ascii="Times New Roman" w:hAnsi="Times New Roman" w:eastAsia="宋体"/>
          <w:b w:val="0"/>
          <w:sz w:val="24"/>
        </w:rPr>
        <w:t>4. 大学期间获“挑战杯”全国大学生课外学术科技作品竞赛国家二等奖或“挑战杯”中国大学生创业计划竞赛国家银奖或中国“互联网+”大学生创新创业大赛国家银奖及以上奖励（主持人）。</w:t>
      </w:r>
    </w:p>
    <w:p>
      <w:pPr>
        <w:spacing w:after="80" w:lineRule="auto" w:line="360"/>
        <w:ind w:firstLine="482"/>
        <w:jc w:val="both"/>
      </w:pPr>
      <w:r>
        <w:rPr>
          <w:rFonts w:ascii="Times New Roman" w:hAnsi="Times New Roman" w:eastAsia="宋体"/>
          <w:b w:val="0"/>
          <w:sz w:val="24"/>
        </w:rPr>
        <w:t>5. 获全国“三好学生”“三好学生标兵”“优秀学生干部”“优秀学生干部标兵”称号。</w:t>
      </w:r>
    </w:p>
    <w:p>
      <w:pPr>
        <w:spacing w:after="80" w:lineRule="auto" w:line="360"/>
        <w:ind w:firstLine="482"/>
        <w:jc w:val="both"/>
      </w:pPr>
      <w:r>
        <w:rPr>
          <w:rFonts w:ascii="Times New Roman" w:hAnsi="Times New Roman" w:eastAsia="宋体"/>
          <w:b w:val="0"/>
          <w:sz w:val="24"/>
        </w:rPr>
        <w:t>6. 学院“推免”领导小组认定的其他条件。</w:t>
      </w:r>
    </w:p>
    <w:p>
      <w:pPr>
        <w:spacing w:after="80" w:lineRule="auto" w:line="360"/>
        <w:ind w:firstLine="482"/>
        <w:jc w:val="both"/>
      </w:pPr>
      <w:r>
        <w:rPr>
          <w:rFonts w:ascii="Times New Roman" w:hAnsi="Times New Roman" w:eastAsia="宋体"/>
          <w:b w:val="0"/>
          <w:sz w:val="24"/>
        </w:rPr>
        <w:t>（三）优先条件</w:t>
      </w:r>
    </w:p>
    <w:p>
      <w:pPr>
        <w:spacing w:after="80" w:lineRule="auto" w:line="360"/>
        <w:ind w:firstLine="482"/>
        <w:jc w:val="both"/>
      </w:pPr>
      <w:r>
        <w:rPr>
          <w:rFonts w:ascii="Times New Roman" w:hAnsi="Times New Roman" w:eastAsia="宋体"/>
          <w:b w:val="0"/>
          <w:sz w:val="24"/>
        </w:rPr>
        <w:t>序次指标通道出现学业成绩并列时，依次比对GPA排序、课程平均分、CET-6成绩、CET-4成绩。</w:t>
      </w:r>
    </w:p>
    <w:p>
      <w:pPr>
        <w:spacing w:after="80" w:lineRule="auto" w:line="360"/>
        <w:ind w:firstLine="482"/>
        <w:jc w:val="both"/>
      </w:pPr>
      <w:r>
        <w:rPr>
          <w:rFonts w:ascii="Times New Roman" w:hAnsi="Times New Roman" w:eastAsia="宋体"/>
          <w:b w:val="0"/>
          <w:sz w:val="24"/>
        </w:rPr>
        <w:t>参选指标通道出现总成绩并列时，依次比对GPA排序、综合分、课程平均分、CET-6成绩、CET-4成绩。</w:t>
      </w:r>
    </w:p>
    <w:p>
      <w:pPr>
        <w:spacing w:before="160" w:after="80" w:lineRule="auto" w:line="360"/>
        <w:jc w:val="left"/>
      </w:pPr>
      <w:r>
        <w:rPr>
          <w:rFonts w:ascii="Times New Roman" w:hAnsi="Times New Roman" w:eastAsia="宋体"/>
          <w:b/>
          <w:sz w:val="28"/>
        </w:rPr>
        <w:t>四、工作流程</w:t>
      </w:r>
    </w:p>
    <w:p>
      <w:pPr>
        <w:spacing w:after="80" w:lineRule="auto" w:line="360"/>
        <w:ind w:firstLine="482"/>
        <w:jc w:val="both"/>
      </w:pPr>
      <w:r>
        <w:rPr>
          <w:rFonts w:ascii="Times New Roman" w:hAnsi="Times New Roman" w:eastAsia="宋体"/>
          <w:b w:val="0"/>
          <w:sz w:val="24"/>
        </w:rPr>
        <w:t>1. 9月6日-10日，学院成立领导小组、审评小组等工作机构，制定方案，报学校领导小组审核通过后，在学院官网发布方案。</w:t>
      </w:r>
    </w:p>
    <w:p>
      <w:pPr>
        <w:spacing w:after="80" w:lineRule="auto" w:line="360"/>
        <w:ind w:firstLine="482"/>
        <w:jc w:val="both"/>
      </w:pPr>
      <w:r>
        <w:rPr>
          <w:rFonts w:ascii="Times New Roman" w:hAnsi="Times New Roman" w:eastAsia="宋体"/>
          <w:b w:val="0"/>
          <w:sz w:val="24"/>
        </w:rPr>
        <w:t>2. 9月10日，大厅公告栏张贴方案、专业GPA排名前40%学生成绩基本信息一览表。如有疏漏，请9月11日12:00前向本科培养办公室（一综B106）反馈。</w:t>
      </w:r>
    </w:p>
    <w:p>
      <w:pPr>
        <w:spacing w:after="80" w:lineRule="auto" w:line="360"/>
        <w:ind w:firstLine="482"/>
        <w:jc w:val="both"/>
      </w:pPr>
      <w:r>
        <w:rPr>
          <w:rFonts w:ascii="Times New Roman" w:hAnsi="Times New Roman" w:eastAsia="宋体"/>
          <w:b w:val="0"/>
          <w:sz w:val="24"/>
        </w:rPr>
        <w:t>3. 9月12日12:00前，符合条件学生向B102提交《华中农业大学推荐免试攻读硕士学位研究生资格申请表》、科研能力、竞赛获奖、国际组织实习、参加志愿服务、参军入伍服兵役、荣誉称号等相应证明材料。科研成果材料须提交指导老师亲笔签名认可的实验记录本复印件。若发现学术不端行为，取消“推免”资格并按校规给予处分。所有材料必须在截止时间前一次性提交。</w:t>
      </w:r>
    </w:p>
    <w:p>
      <w:pPr>
        <w:spacing w:after="80" w:lineRule="auto" w:line="360"/>
        <w:ind w:firstLine="482"/>
        <w:jc w:val="both"/>
      </w:pPr>
      <w:r>
        <w:rPr>
          <w:rFonts w:ascii="Times New Roman" w:hAnsi="Times New Roman" w:eastAsia="宋体"/>
          <w:b w:val="0"/>
          <w:sz w:val="24"/>
        </w:rPr>
        <w:t>4. 9月15日前，学院工作审评小组对学生申请进行成果鉴定，排除抄袭、造假、冒名及有名无实等情况。专家组负责审核学生成果资料的真实性。</w:t>
      </w:r>
    </w:p>
    <w:p>
      <w:pPr>
        <w:spacing w:after="80" w:lineRule="auto" w:line="360"/>
        <w:ind w:firstLine="482"/>
        <w:jc w:val="both"/>
      </w:pPr>
      <w:r>
        <w:rPr>
          <w:rFonts w:ascii="Times New Roman" w:hAnsi="Times New Roman" w:eastAsia="宋体"/>
          <w:b w:val="0"/>
          <w:sz w:val="24"/>
        </w:rPr>
        <w:t>5. 9月15-21日，学院向本科生院提交拟推荐名单；学校审核、公示，上报信息。</w:t>
      </w:r>
    </w:p>
    <w:p>
      <w:pPr>
        <w:spacing w:after="80" w:lineRule="auto" w:line="360"/>
        <w:ind w:firstLine="482"/>
        <w:jc w:val="both"/>
      </w:pPr>
      <w:r>
        <w:rPr>
          <w:rFonts w:ascii="Times New Roman" w:hAnsi="Times New Roman" w:eastAsia="宋体"/>
          <w:b w:val="0"/>
          <w:sz w:val="24"/>
        </w:rPr>
        <w:t>本方案自发布之日起执行，未尽事宜由学院推免工作领导小组根据我校推荐优秀应届本科毕业生免试攻读研究生工作要求另行研究决定。</w:t>
      </w:r>
    </w:p>
    <w:p>
      <w:pPr>
        <w:spacing w:before="160" w:after="80" w:lineRule="auto" w:line="360"/>
        <w:jc w:val="left"/>
      </w:pPr>
      <w:r>
        <w:rPr>
          <w:rFonts w:ascii="Times New Roman" w:hAnsi="Times New Roman" w:eastAsia="宋体"/>
          <w:b/>
          <w:sz w:val="28"/>
        </w:rPr>
        <w:t>五、申诉释疑</w:t>
      </w:r>
    </w:p>
    <w:p>
      <w:pPr>
        <w:spacing w:after="80" w:lineRule="auto" w:line="360"/>
        <w:ind w:firstLine="482"/>
        <w:jc w:val="both"/>
      </w:pPr>
      <w:r>
        <w:rPr>
          <w:rFonts w:ascii="Times New Roman" w:hAnsi="Times New Roman" w:eastAsia="宋体"/>
          <w:b w:val="0"/>
          <w:sz w:val="24"/>
        </w:rPr>
        <w:t>如有疑问请及时向学院“推免”工作领导小组提出申诉。</w:t>
      </w:r>
    </w:p>
    <w:p>
      <w:pPr>
        <w:spacing w:after="80" w:lineRule="auto" w:line="360"/>
        <w:ind w:firstLine="482"/>
        <w:jc w:val="both"/>
      </w:pPr>
      <w:r>
        <w:rPr>
          <w:rFonts w:ascii="Times New Roman" w:hAnsi="Times New Roman" w:eastAsia="宋体"/>
          <w:b w:val="0"/>
          <w:sz w:val="24"/>
        </w:rPr>
        <w:t>学院办公室</w:t>
      </w:r>
    </w:p>
    <w:p>
      <w:pPr>
        <w:spacing w:after="80" w:lineRule="auto" w:line="360"/>
        <w:ind w:firstLine="482"/>
        <w:jc w:val="both"/>
      </w:pPr>
      <w:r>
        <w:rPr>
          <w:rFonts w:ascii="Times New Roman" w:hAnsi="Times New Roman" w:eastAsia="宋体"/>
          <w:b w:val="0"/>
          <w:sz w:val="24"/>
        </w:rPr>
        <w:t>华中农业大学信息学院</w:t>
      </w:r>
    </w:p>
    <w:p>
      <w:pPr>
        <w:spacing w:after="80" w:lineRule="auto" w:line="360"/>
        <w:ind w:firstLine="482"/>
        <w:jc w:val="both"/>
      </w:pPr>
      <w:r>
        <w:rPr>
          <w:rFonts w:ascii="Times New Roman" w:hAnsi="Times New Roman" w:eastAsia="宋体"/>
          <w:b w:val="0"/>
          <w:sz w:val="24"/>
        </w:rPr>
        <w:t>2024年9月10日</w:t>
      </w:r>
    </w:p>
    <w:p>
      <w:pPr>
        <w:spacing w:after="80" w:lineRule="auto" w:line="360"/>
        <w:ind w:firstLine="482"/>
        <w:jc w:val="both"/>
      </w:pPr>
      <w:r>
        <w:rPr>
          <w:rFonts w:ascii="Times New Roman" w:hAnsi="Times New Roman" w:eastAsia="宋体"/>
          <w:b w:val="0"/>
          <w:sz w:val="24"/>
        </w:rPr>
        <w:t>附件1：2024年信息学院本科推免综合加分细则.docx</w:t>
      </w:r>
    </w:p>
    <w:p>
      <w:pPr>
        <w:spacing w:after="80" w:lineRule="auto" w:line="360"/>
        <w:ind w:firstLine="482"/>
        <w:jc w:val="both"/>
      </w:pPr>
      <w:r>
        <w:rPr>
          <w:rFonts w:ascii="Times New Roman" w:hAnsi="Times New Roman" w:eastAsia="宋体"/>
          <w:b w:val="0"/>
          <w:sz w:val="24"/>
        </w:rPr>
        <w:t>附件2：2025年华中农业大学工程硕博士招生信息表.docx</w:t>
      </w:r>
    </w:p>
    <w:p>
      <w:pPr>
        <w:spacing w:after="80" w:lineRule="auto" w:line="360"/>
        <w:ind w:firstLine="482"/>
        <w:jc w:val="both"/>
      </w:pPr>
      <w:r>
        <w:rPr>
          <w:rFonts w:ascii="Times New Roman" w:hAnsi="Times New Roman" w:eastAsia="宋体"/>
          <w:b w:val="0"/>
          <w:sz w:val="24"/>
        </w:rPr>
        <w:t>信息学院2025年招收优秀应届本科毕业生免试攻读硕士学位研究生工作方案</w:t>
      </w:r>
    </w:p>
    <w:p>
      <w:pPr>
        <w:spacing w:after="80" w:lineRule="auto" w:line="360"/>
        <w:ind w:firstLine="482"/>
        <w:jc w:val="both"/>
      </w:pPr>
      <w:r>
        <w:rPr>
          <w:rFonts w:ascii="Times New Roman" w:hAnsi="Times New Roman" w:eastAsia="宋体"/>
          <w:b w:val="0"/>
          <w:sz w:val="24"/>
        </w:rPr>
        <w:t>信息学院关于接收2025年推荐免试研究生预报名的通知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