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计算机与人工智能学院推荐优秀应届本科毕业生免试攻读硕士学位研究生工作实施细则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本段内容为计算机与人工智能学院网站导航栏目信息，未包含推荐优秀应届本科毕业生免试攻读硕士学位研究生工作实施细则的具体正文内容，因此无法提炼申请条件、报名时间、活动时间、接收条件、流程、材料清单、时间节点、名额、联系方式等实质信息。</w:t>
      </w:r>
    </w:p>
    <w:p>
      <w:pPr>
        <w:spacing w:after="80" w:lineRule="auto" w:line="360"/>
        <w:ind w:firstLine="482"/>
        <w:jc w:val="both"/>
      </w:pPr>
      <w:r>
        <w:rPr>
          <w:rFonts w:ascii="Times New Roman" w:hAnsi="Times New Roman" w:eastAsia="宋体"/>
          <w:b w:val="0"/>
          <w:sz w:val="24"/>
        </w:rPr>
        <w:t>发布日期（推定）：2025年9月9日</w:t>
      </w:r>
    </w:p>
    <w:p>
      <w:pPr>
        <w:spacing w:before="160" w:after="80" w:lineRule="auto" w:line="360"/>
        <w:jc w:val="left"/>
      </w:pPr>
      <w:r>
        <w:rPr>
          <w:rFonts w:ascii="Times New Roman" w:hAnsi="Times New Roman" w:eastAsia="宋体"/>
          <w:b/>
          <w:sz w:val="28"/>
        </w:rPr>
        <w:t>一、页面栏目结构</w:t>
      </w:r>
    </w:p>
    <w:p>
      <w:pPr>
        <w:spacing w:after="80" w:lineRule="auto" w:line="360"/>
        <w:ind w:firstLine="482"/>
        <w:jc w:val="both"/>
      </w:pPr>
      <w:r>
        <w:rPr>
          <w:rFonts w:ascii="Times New Roman" w:hAnsi="Times New Roman" w:eastAsia="宋体"/>
          <w:b w:val="0"/>
          <w:sz w:val="24"/>
        </w:rPr>
        <w:t>1. 学院概况类：计智学院简介、历史沿革、联系我们、师资队伍简介、博士生导师、硕士生导师、教授名录、副教授名录、博士名录、在读博士教师、机关员工。</w:t>
      </w:r>
    </w:p>
    <w:p>
      <w:pPr>
        <w:spacing w:after="80" w:lineRule="auto" w:line="360"/>
        <w:ind w:firstLine="482"/>
        <w:jc w:val="both"/>
      </w:pPr>
      <w:r>
        <w:rPr>
          <w:rFonts w:ascii="Times New Roman" w:hAnsi="Times New Roman" w:eastAsia="宋体"/>
          <w:b w:val="0"/>
          <w:sz w:val="24"/>
        </w:rPr>
        <w:t>2. 学科建设类：学科简介、专业设置、重点学科、学科平台。</w:t>
      </w:r>
    </w:p>
    <w:p>
      <w:pPr>
        <w:spacing w:after="80" w:lineRule="auto" w:line="360"/>
        <w:ind w:firstLine="482"/>
        <w:jc w:val="both"/>
      </w:pPr>
      <w:r>
        <w:rPr>
          <w:rFonts w:ascii="Times New Roman" w:hAnsi="Times New Roman" w:eastAsia="宋体"/>
          <w:b w:val="0"/>
          <w:sz w:val="24"/>
        </w:rPr>
        <w:t>3. 教育教学类：研究生教育、本科教育、创新竞赛、实训基地、实验室建设、院知识库。</w:t>
      </w:r>
    </w:p>
    <w:p>
      <w:pPr>
        <w:spacing w:after="80" w:lineRule="auto" w:line="360"/>
        <w:ind w:firstLine="482"/>
        <w:jc w:val="both"/>
      </w:pPr>
      <w:r>
        <w:rPr>
          <w:rFonts w:ascii="Times New Roman" w:hAnsi="Times New Roman" w:eastAsia="宋体"/>
          <w:b w:val="0"/>
          <w:sz w:val="24"/>
        </w:rPr>
        <w:t>4. 科研学术类：科研概况、成果一览、院知识库、科研项目、资料下载。</w:t>
      </w:r>
    </w:p>
    <w:p>
      <w:pPr>
        <w:spacing w:after="80" w:lineRule="auto" w:line="360"/>
        <w:ind w:firstLine="482"/>
        <w:jc w:val="both"/>
      </w:pPr>
      <w:r>
        <w:rPr>
          <w:rFonts w:ascii="Times New Roman" w:hAnsi="Times New Roman" w:eastAsia="宋体"/>
          <w:b w:val="0"/>
          <w:sz w:val="24"/>
        </w:rPr>
        <w:t>5. 学生工作类：学生办公室、工作动态、团学工作、奖贷补助、资料下载。</w:t>
      </w:r>
    </w:p>
    <w:p>
      <w:pPr>
        <w:spacing w:after="80" w:lineRule="auto" w:line="360"/>
        <w:ind w:firstLine="482"/>
        <w:jc w:val="both"/>
      </w:pPr>
      <w:r>
        <w:rPr>
          <w:rFonts w:ascii="Times New Roman" w:hAnsi="Times New Roman" w:eastAsia="宋体"/>
          <w:b w:val="0"/>
          <w:sz w:val="24"/>
        </w:rPr>
        <w:t>6. 党建工作类：党建工作。</w:t>
      </w:r>
    </w:p>
    <w:p>
      <w:pPr>
        <w:spacing w:after="80" w:lineRule="auto" w:line="360"/>
        <w:ind w:firstLine="482"/>
        <w:jc w:val="both"/>
      </w:pPr>
      <w:r>
        <w:rPr>
          <w:rFonts w:ascii="Times New Roman" w:hAnsi="Times New Roman" w:eastAsia="宋体"/>
          <w:b w:val="0"/>
          <w:sz w:val="24"/>
        </w:rPr>
        <w:t>7. 招生与校友类：本科招生、研究生招生、校友工作、知名校友、校友风采、校友活动。</w:t>
      </w:r>
    </w:p>
    <w:p>
      <w:pPr>
        <w:spacing w:after="80" w:lineRule="auto" w:line="360"/>
        <w:ind w:firstLine="482"/>
        <w:jc w:val="both"/>
      </w:pPr>
      <w:r>
        <w:rPr>
          <w:rFonts w:ascii="Times New Roman" w:hAnsi="Times New Roman" w:eastAsia="宋体"/>
          <w:b w:val="0"/>
          <w:sz w:val="24"/>
        </w:rPr>
        <w:t>8. 新闻公告类：通知公告、计智新闻、通知公告、科研动态、通知公告。</w:t>
      </w:r>
    </w:p>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当前内容仅为网站导航与栏目名称，未提供实施细则正文。</w:t>
      </w:r>
    </w:p>
    <w:p>
      <w:pPr>
        <w:spacing w:after="80" w:lineRule="auto" w:line="360"/>
        <w:ind w:firstLine="482"/>
        <w:jc w:val="both"/>
      </w:pPr>
      <w:r>
        <w:rPr>
          <w:rFonts w:ascii="Times New Roman" w:hAnsi="Times New Roman" w:eastAsia="宋体"/>
          <w:b w:val="0"/>
          <w:sz w:val="24"/>
        </w:rPr>
        <w:t>2. 如需整理该实施细则，请补充通知正文或附件内容。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