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天津商业大学管理学院接收2026届优秀应届本科毕业生免试攻读硕士学位研究生工作实施细则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天津商业大学管理学院接收2026届优秀应届本科毕业生免试攻读硕士学位研究生工作实施细则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接收对象为2026届优秀应届本科毕业生，符合国家及天津商业大学推免生接收基本条件。</w:t>
      </w:r>
    </w:p>
    <w:p>
      <w:pPr>
        <w:spacing w:after="80" w:lineRule="auto" w:line="360"/>
        <w:ind w:firstLine="482"/>
        <w:jc w:val="both"/>
      </w:pPr>
      <w:r>
        <w:rPr>
          <w:rFonts w:ascii="Times New Roman" w:hAnsi="Times New Roman" w:eastAsia="宋体"/>
          <w:b w:val="0"/>
          <w:sz w:val="24"/>
        </w:rPr>
        <w:t>2. 申请人须品行端正，无违法违纪记录，学术诚信良好。</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申请人需下载并填写附件1《天津商业大学接收优秀应届本科毕业生免试攻读硕士学位研究生申请表》。</w:t>
      </w:r>
    </w:p>
    <w:p>
      <w:pPr>
        <w:spacing w:after="80" w:lineRule="auto" w:line="360"/>
        <w:ind w:firstLine="482"/>
        <w:jc w:val="both"/>
      </w:pPr>
      <w:r>
        <w:rPr>
          <w:rFonts w:ascii="Times New Roman" w:hAnsi="Times New Roman" w:eastAsia="宋体"/>
          <w:b w:val="0"/>
          <w:sz w:val="24"/>
        </w:rPr>
        <w:t>2. 提交附件2《思想政治素质和品德考核表》及附件3《复试考生诚信考试承诺书》。</w:t>
      </w:r>
    </w:p>
    <w:p>
      <w:pPr>
        <w:spacing w:after="80" w:lineRule="auto" w:line="360"/>
        <w:ind w:firstLine="482"/>
        <w:jc w:val="both"/>
      </w:pPr>
      <w:r>
        <w:rPr>
          <w:rFonts w:ascii="Times New Roman" w:hAnsi="Times New Roman" w:eastAsia="宋体"/>
          <w:b w:val="0"/>
          <w:sz w:val="24"/>
        </w:rPr>
        <w:t>3. 按学院要求提交完整申请材料，具体时间节点及材料清单详见实施细则原文。</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1. 学院将组织复试，具体时间、形式及内容以学院后续通知为准。</w:t>
      </w:r>
    </w:p>
    <w:p>
      <w:pPr>
        <w:spacing w:after="80" w:lineRule="auto" w:line="360"/>
        <w:ind w:firstLine="482"/>
        <w:jc w:val="both"/>
      </w:pPr>
      <w:r>
        <w:rPr>
          <w:rFonts w:ascii="Times New Roman" w:hAnsi="Times New Roman" w:eastAsia="宋体"/>
          <w:b w:val="0"/>
          <w:sz w:val="24"/>
        </w:rPr>
        <w:t>2. 复试考生须签署诚信考试承诺书，确保考试公平公正。</w:t>
      </w:r>
    </w:p>
    <w:p>
      <w:pPr>
        <w:spacing w:before="160" w:after="80" w:lineRule="auto" w:line="360"/>
        <w:jc w:val="left"/>
      </w:pPr>
      <w:r>
        <w:rPr>
          <w:rFonts w:ascii="Times New Roman" w:hAnsi="Times New Roman" w:eastAsia="宋体"/>
          <w:b/>
          <w:sz w:val="28"/>
        </w:rPr>
        <w:t>四、联系方式及附件</w:t>
      </w:r>
    </w:p>
    <w:p>
      <w:pPr>
        <w:spacing w:after="80" w:lineRule="auto" w:line="360"/>
        <w:ind w:firstLine="482"/>
        <w:jc w:val="both"/>
      </w:pPr>
      <w:r>
        <w:rPr>
          <w:rFonts w:ascii="Times New Roman" w:hAnsi="Times New Roman" w:eastAsia="宋体"/>
          <w:b w:val="0"/>
          <w:sz w:val="24"/>
        </w:rPr>
        <w:t>1. 实施细则及附件下载地址：https://glxy.tjcu.edu.cn/info/1120/3386.htm</w:t>
      </w:r>
    </w:p>
    <w:p>
      <w:pPr>
        <w:spacing w:after="80" w:lineRule="auto" w:line="360"/>
        <w:ind w:firstLine="482"/>
        <w:jc w:val="both"/>
      </w:pPr>
      <w:r>
        <w:rPr>
          <w:rFonts w:ascii="Times New Roman" w:hAnsi="Times New Roman" w:eastAsia="宋体"/>
          <w:b w:val="0"/>
          <w:sz w:val="24"/>
        </w:rPr>
        <w:t>2. 附件包括：实施细则、申请表、思想政治素质和品德考核表、诚信考试承诺书。</w:t>
      </w:r>
    </w:p>
    <w:p>
      <w:pPr>
        <w:spacing w:after="80" w:lineRule="auto" w:line="360"/>
        <w:ind w:firstLine="482"/>
        <w:jc w:val="both"/>
      </w:pPr>
      <w:r>
        <w:rPr>
          <w:rFonts w:ascii="Times New Roman" w:hAnsi="Times New Roman" w:eastAsia="宋体"/>
          <w:b w:val="0"/>
          <w:sz w:val="24"/>
        </w:rPr>
        <w:t>3. 学院联系方式详见官网公告，咨询电话及邮箱以学院官方发布为准。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