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武汉大学生命科学学院2025年优秀大学生夏令营活动通知</w:t>
      </w:r>
    </w:p>
    <w:p>
      <w:pPr>
        <w:spacing w:after="80" w:line="360" w:lineRule="auto"/>
        <w:ind w:firstLine="482"/>
        <w:jc w:val="both"/>
      </w:pPr>
      <w:r>
        <w:rPr>
          <w:rFonts w:ascii="Times New Roman" w:hAnsi="Times New Roman" w:eastAsia="宋体"/>
          <w:sz w:val="24"/>
        </w:rPr>
        <w:t>武汉大学生命科学学院发端于1922年国立武昌高等师范学校生物学系。1992年，武汉大学生物学系、病毒学系和生物工程研究中心合并，成立生命科学学院。至2022年办学兴业百载，学院已成为学科专业齐全、综合实力较强、在国内外有重要影响的研究型学院。</w:t>
      </w:r>
    </w:p>
    <w:p>
      <w:pPr>
        <w:spacing w:after="80" w:line="360" w:lineRule="auto"/>
        <w:ind w:firstLine="482"/>
        <w:jc w:val="both"/>
      </w:pPr>
      <w:r>
        <w:rPr>
          <w:rFonts w:ascii="Times New Roman" w:hAnsi="Times New Roman" w:eastAsia="宋体"/>
          <w:sz w:val="24"/>
        </w:rPr>
        <w:t>学院建有高致病性病毒与生物安全全国重点实验室、杂交水稻全国重点实验室、复杂生命体代谢与调控全国重点实验室、湖北梁子湖湖泊生态系统国家野外科学观测站、中国典型培养物保藏中心、教育部武汉大学细胞资源库、细胞稳态湖北省重点实验室等国家和省部级科研平台，拥有规模较大、特色鲜明的动植物标本馆。</w:t>
      </w:r>
    </w:p>
    <w:p>
      <w:pPr>
        <w:spacing w:after="80" w:line="360" w:lineRule="auto"/>
        <w:ind w:firstLine="482"/>
        <w:jc w:val="both"/>
      </w:pPr>
      <w:r>
        <w:rPr>
          <w:rFonts w:ascii="Times New Roman" w:hAnsi="Times New Roman" w:eastAsia="宋体"/>
          <w:sz w:val="24"/>
        </w:rPr>
        <w:t>学院拥有全国首批生物学一级学科国家重点学科，入选教育部“双一流”学科建设名单，在第四轮学科评估中，生物学评估为A，生态学评估为B+。武汉大学与生物学相关的七个学科（“生物学与生物化学”、“植物学与动物学”、“环境科学与生态学”、“农学”、“分子生物学与遗传学”、“免疫学”和“微生物学”）全部进入世界ESI学科排名前5‰。</w:t>
      </w:r>
    </w:p>
    <w:p>
      <w:pPr>
        <w:spacing w:after="80" w:line="360" w:lineRule="auto"/>
        <w:ind w:firstLine="482"/>
        <w:jc w:val="both"/>
      </w:pPr>
      <w:r>
        <w:rPr>
          <w:rFonts w:ascii="Times New Roman" w:hAnsi="Times New Roman" w:eastAsia="宋体"/>
          <w:sz w:val="24"/>
        </w:rPr>
        <w:t>学院现有教授（研究员）83人，副教授（副研究员）27人，其中中国科学院院士3人，国家杰出青年基金获得者12人，国家各类高层次人才60人次。</w:t>
      </w:r>
    </w:p>
    <w:p>
      <w:pPr>
        <w:spacing w:after="80" w:line="360" w:lineRule="auto"/>
        <w:ind w:firstLine="482"/>
        <w:jc w:val="both"/>
      </w:pPr>
      <w:r>
        <w:rPr>
          <w:rFonts w:ascii="Times New Roman" w:hAnsi="Times New Roman" w:eastAsia="宋体"/>
          <w:sz w:val="24"/>
        </w:rPr>
        <w:t>学院瞄准人类健康、农业发展与粮食安全、生态文明建设等领域的重大科学问题，汇聚优质资源，引导原创研究，加强交叉学科领域协同发展，在免疫与炎症调节、植物功能基因组与演化、代谢调控与代谢性疾病、水稻抗性与育种、病毒感染与防控、染色质与表观遗传等研究方向初步形成了6个高水平科研团队。一系列原创科研成果在生物医药、水生态环境治理等领域成功转化。</w:t>
      </w:r>
    </w:p>
    <w:p>
      <w:pPr>
        <w:spacing w:after="80" w:line="360" w:lineRule="auto"/>
        <w:ind w:firstLine="482"/>
        <w:jc w:val="both"/>
      </w:pPr>
      <w:r>
        <w:rPr>
          <w:rFonts w:ascii="Times New Roman" w:hAnsi="Times New Roman" w:eastAsia="宋体"/>
          <w:sz w:val="24"/>
        </w:rPr>
        <w:t>学院目前重点推进三个研究生培养专项工作的实施：</w:t>
      </w:r>
    </w:p>
    <w:p>
      <w:pPr>
        <w:spacing w:after="80" w:line="360" w:lineRule="auto"/>
        <w:ind w:firstLine="482"/>
        <w:jc w:val="both"/>
      </w:pPr>
      <w:r>
        <w:rPr>
          <w:rFonts w:ascii="Times New Roman" w:hAnsi="Times New Roman" w:eastAsia="宋体"/>
          <w:sz w:val="24"/>
        </w:rPr>
        <w:t>基础学科博士研究生拔尖创新人才培养专项</w:t>
      </w:r>
    </w:p>
    <w:p>
      <w:pPr>
        <w:spacing w:after="80" w:line="360" w:lineRule="auto"/>
        <w:ind w:firstLine="482"/>
        <w:jc w:val="both"/>
      </w:pPr>
      <w:r>
        <w:rPr>
          <w:rFonts w:ascii="Times New Roman" w:hAnsi="Times New Roman" w:eastAsia="宋体"/>
          <w:sz w:val="24"/>
        </w:rPr>
        <w:t>学院作为学校基础学科博士研究生拔尖创新人才培养改革首批试点的两家单位之一，正多措施、全方位推进相关改革工作，在优化培养体系和资源配置的同时，探索高水平拔尖创新人才培养新模式，打造高层次基础学科研究生培养平台。学院优先遴选2026级直博生进入拔尖创新人才培养体系，在导师配置、培养条件、生活保障等方面给予重点支持。</w:t>
      </w:r>
    </w:p>
    <w:p>
      <w:pPr>
        <w:spacing w:after="80" w:line="360" w:lineRule="auto"/>
        <w:ind w:firstLine="482"/>
        <w:jc w:val="both"/>
      </w:pPr>
      <w:r>
        <w:rPr>
          <w:rFonts w:ascii="Times New Roman" w:hAnsi="Times New Roman" w:eastAsia="宋体"/>
          <w:sz w:val="24"/>
        </w:rPr>
        <w:t>武汉大学“卓越工程师”研究生培养专项</w:t>
      </w:r>
    </w:p>
    <w:p>
      <w:pPr>
        <w:spacing w:after="80" w:line="360" w:lineRule="auto"/>
        <w:ind w:firstLine="482"/>
        <w:jc w:val="both"/>
      </w:pPr>
      <w:r>
        <w:rPr>
          <w:rFonts w:ascii="Times New Roman" w:hAnsi="Times New Roman" w:eastAsia="宋体"/>
          <w:sz w:val="24"/>
        </w:rPr>
        <w:t>学院面向生命健康领域人才需求，以实践能力和创新能力培养为重点，以产学研结合为途径，培养德智体美劳全面发展，掌握特定职业领域坚实的基础理论和宽广的专业知识，能够承担专业技术或管理工作、具有良好的职业素养和一定国际视野的高层次人才。学院提供专业的实践基地、优惠的联培企业就业政策以及优厚的学业提升（实践）补贴。</w:t>
      </w:r>
    </w:p>
    <w:p>
      <w:pPr>
        <w:spacing w:after="80" w:line="360" w:lineRule="auto"/>
        <w:ind w:firstLine="482"/>
        <w:jc w:val="both"/>
      </w:pPr>
      <w:r>
        <w:rPr>
          <w:rFonts w:ascii="Times New Roman" w:hAnsi="Times New Roman" w:eastAsia="宋体"/>
          <w:sz w:val="24"/>
        </w:rPr>
        <w:t>国家优秀中小学教师培养计划</w:t>
      </w:r>
    </w:p>
    <w:p>
      <w:pPr>
        <w:spacing w:after="80" w:line="360" w:lineRule="auto"/>
        <w:ind w:firstLine="482"/>
        <w:jc w:val="both"/>
      </w:pPr>
      <w:r>
        <w:rPr>
          <w:rFonts w:ascii="Times New Roman" w:hAnsi="Times New Roman" w:eastAsia="宋体"/>
          <w:sz w:val="24"/>
        </w:rPr>
        <w:t>学院充分发挥基础学科拔尖创新人才培养优势，选拔专业成绩优秀且乐教适教的学生作为“国优计划”研究生，探索从教激励政策，在强化学科专业课程学习的同时，系统开设教师教育模块课程（含参加教育实践），为中小学输送一批教育情怀深厚、专业素养卓越、教学基本功扎实的优秀教师，为进一步健全中国特色教育教师体系提供有力支撑。</w:t>
      </w:r>
    </w:p>
    <w:p>
      <w:pPr>
        <w:spacing w:before="160" w:after="80" w:line="360" w:lineRule="auto"/>
      </w:pPr>
      <w:r>
        <w:rPr>
          <w:rFonts w:ascii="Times New Roman" w:hAnsi="Times New Roman" w:eastAsia="宋体"/>
          <w:b/>
          <w:sz w:val="28"/>
        </w:rPr>
        <w:t>一、活动组织</w:t>
      </w:r>
    </w:p>
    <w:p>
      <w:pPr>
        <w:spacing w:after="80" w:line="360" w:lineRule="auto"/>
        <w:ind w:firstLine="482"/>
        <w:jc w:val="both"/>
      </w:pPr>
      <w:r>
        <w:rPr>
          <w:rFonts w:ascii="Times New Roman" w:hAnsi="Times New Roman" w:eastAsia="宋体"/>
          <w:sz w:val="24"/>
        </w:rPr>
        <w:t>生命科学学院研究生招生工作领导小组具体负责本学院夏令营活动的组织领导工作，协调做好师生交流、营员评价等工作，以及落实意识形态主体责任和监督检查工作，制定学院夏令营活动实施细则并组织实施。</w:t>
      </w:r>
    </w:p>
    <w:p>
      <w:pPr>
        <w:spacing w:before="160" w:after="80" w:line="360" w:lineRule="auto"/>
      </w:pPr>
      <w:r>
        <w:rPr>
          <w:rFonts w:ascii="Times New Roman" w:hAnsi="Times New Roman" w:eastAsia="宋体"/>
          <w:b/>
          <w:sz w:val="28"/>
        </w:rPr>
        <w:t>二、活动安排</w:t>
      </w:r>
    </w:p>
    <w:p>
      <w:pPr>
        <w:spacing w:after="80" w:line="360" w:lineRule="auto"/>
        <w:ind w:firstLine="482"/>
        <w:jc w:val="both"/>
      </w:pPr>
      <w:r>
        <w:rPr>
          <w:rFonts w:ascii="Times New Roman" w:hAnsi="Times New Roman" w:eastAsia="宋体"/>
          <w:sz w:val="24"/>
        </w:rPr>
        <w:t>（一）参营人数：原则上160人左右。学院可根据报名人数和生源情况适当调整。</w:t>
      </w:r>
    </w:p>
    <w:p>
      <w:pPr>
        <w:spacing w:after="80" w:line="360" w:lineRule="auto"/>
        <w:ind w:firstLine="482"/>
        <w:jc w:val="both"/>
      </w:pPr>
      <w:r>
        <w:rPr>
          <w:rFonts w:ascii="Times New Roman" w:hAnsi="Times New Roman" w:eastAsia="宋体"/>
          <w:sz w:val="24"/>
        </w:rPr>
        <w:t>（二）活动安排：7月19日报到，7月20-21日活动。</w:t>
      </w:r>
    </w:p>
    <w:p>
      <w:pPr>
        <w:spacing w:after="80" w:line="360" w:lineRule="auto"/>
        <w:ind w:firstLine="482"/>
        <w:jc w:val="both"/>
      </w:pPr>
      <w:r>
        <w:rPr>
          <w:rFonts w:ascii="Times New Roman" w:hAnsi="Times New Roman" w:eastAsia="宋体"/>
          <w:sz w:val="24"/>
        </w:rPr>
        <w:t>（三）后勤安排：学院为参营人员购买夏令营活动期间人身意外伤害保险、提供夏令营活动期间在汉食宿（武汉市本地高校学生不提供住宿）。</w:t>
      </w:r>
    </w:p>
    <w:p>
      <w:pPr>
        <w:spacing w:after="80" w:line="360" w:lineRule="auto"/>
        <w:ind w:firstLine="482"/>
        <w:jc w:val="both"/>
      </w:pPr>
      <w:r>
        <w:rPr>
          <w:rFonts w:ascii="Times New Roman" w:hAnsi="Times New Roman" w:eastAsia="宋体"/>
          <w:sz w:val="24"/>
        </w:rPr>
        <w:t>自外地高校的夏令营营员，被我校推免录取的，入学后凭票按硬卧火车票或汽车票标准报销报销参营交通费，费用由学校承担。</w:t>
      </w:r>
    </w:p>
    <w:p>
      <w:pPr>
        <w:spacing w:after="80" w:line="360" w:lineRule="auto"/>
        <w:ind w:firstLine="482"/>
        <w:jc w:val="both"/>
      </w:pPr>
      <w:r>
        <w:rPr>
          <w:rFonts w:ascii="Times New Roman" w:hAnsi="Times New Roman" w:eastAsia="宋体"/>
          <w:sz w:val="24"/>
        </w:rPr>
        <w:t>（四）活动内容：举办学术报告、专业介绍、营员个人能力展示、师生交流、参观实验室及校园等活动。具体活动安排后续通知。</w:t>
      </w:r>
    </w:p>
    <w:p>
      <w:pPr>
        <w:spacing w:before="160" w:after="80" w:line="360" w:lineRule="auto"/>
      </w:pPr>
      <w:r>
        <w:rPr>
          <w:rFonts w:ascii="Times New Roman" w:hAnsi="Times New Roman" w:eastAsia="宋体"/>
          <w:b/>
          <w:sz w:val="28"/>
        </w:rPr>
        <w:t>三、申请条件及办法</w:t>
      </w:r>
    </w:p>
    <w:p>
      <w:pPr>
        <w:spacing w:after="80" w:line="360" w:lineRule="auto"/>
        <w:ind w:firstLine="482"/>
        <w:jc w:val="both"/>
      </w:pPr>
      <w:r>
        <w:rPr>
          <w:rFonts w:ascii="Times New Roman" w:hAnsi="Times New Roman" w:eastAsia="宋体"/>
          <w:sz w:val="24"/>
        </w:rPr>
        <w:t>（一）申请条件</w:t>
      </w:r>
    </w:p>
    <w:p>
      <w:pPr>
        <w:spacing w:after="80" w:line="360" w:lineRule="auto"/>
        <w:ind w:firstLine="482"/>
        <w:jc w:val="both"/>
      </w:pPr>
      <w:r>
        <w:rPr>
          <w:rFonts w:ascii="Times New Roman" w:hAnsi="Times New Roman" w:eastAsia="宋体"/>
          <w:sz w:val="24"/>
        </w:rPr>
        <w:t>1. 国内外高水平大学、全国重点大学的本科三年级在校生（2026届毕业生，含境外高校当年毕业学生），或所在学科为国家双一流学科，在最新一轮学科水平评估中排名靠前的本科三年级在校生（2026届毕业生）；</w:t>
      </w:r>
    </w:p>
    <w:p>
      <w:pPr>
        <w:spacing w:after="80" w:line="360" w:lineRule="auto"/>
        <w:ind w:firstLine="482"/>
        <w:jc w:val="both"/>
      </w:pPr>
      <w:r>
        <w:rPr>
          <w:rFonts w:ascii="Times New Roman" w:hAnsi="Times New Roman" w:eastAsia="宋体"/>
          <w:sz w:val="24"/>
        </w:rPr>
        <w:t>2. 学习成绩优异，预计可获得所在学校推免资格；</w:t>
      </w:r>
    </w:p>
    <w:p>
      <w:pPr>
        <w:spacing w:after="80" w:line="360" w:lineRule="auto"/>
        <w:ind w:firstLine="482"/>
        <w:jc w:val="both"/>
      </w:pPr>
      <w:r>
        <w:rPr>
          <w:rFonts w:ascii="Times New Roman" w:hAnsi="Times New Roman" w:eastAsia="宋体"/>
          <w:sz w:val="24"/>
        </w:rPr>
        <w:t>3. 对生命科学研究有浓厚的兴趣，有较强的科研潜力；英语水平良好；身心健康。</w:t>
      </w:r>
    </w:p>
    <w:p>
      <w:pPr>
        <w:spacing w:after="80" w:line="360" w:lineRule="auto"/>
        <w:ind w:firstLine="482"/>
        <w:jc w:val="both"/>
      </w:pPr>
      <w:r>
        <w:rPr>
          <w:rFonts w:ascii="Times New Roman" w:hAnsi="Times New Roman" w:eastAsia="宋体"/>
          <w:sz w:val="24"/>
        </w:rPr>
        <w:t>（二）申请材料（系统报名完成后需发送电子版材料至指定邮箱，无需邮寄）</w:t>
      </w:r>
    </w:p>
    <w:p>
      <w:pPr>
        <w:spacing w:after="80" w:line="360" w:lineRule="auto"/>
        <w:ind w:firstLine="482"/>
        <w:jc w:val="both"/>
      </w:pPr>
      <w:r>
        <w:rPr>
          <w:rFonts w:ascii="Times New Roman" w:hAnsi="Times New Roman" w:eastAsia="宋体"/>
          <w:sz w:val="24"/>
        </w:rPr>
        <w:t>1.“武汉大学生命科学学院2025年优秀大学生夏令营申请表”（系统打印或下载附件1）（如跨页须正反双面打印，须由申请人亲笔签名、所在学校院系推荐意见和教务部门盖章）；</w:t>
      </w:r>
    </w:p>
    <w:p>
      <w:pPr>
        <w:spacing w:after="80" w:line="360" w:lineRule="auto"/>
        <w:ind w:firstLine="482"/>
        <w:jc w:val="both"/>
      </w:pPr>
      <w:r>
        <w:rPr>
          <w:rFonts w:ascii="Times New Roman" w:hAnsi="Times New Roman" w:eastAsia="宋体"/>
          <w:sz w:val="24"/>
        </w:rPr>
        <w:t>2.“武汉大学生命科学学院2025年优秀大学生夏令营个人陈述”（系统打印或下载附件2，须由申请人亲笔签名）；</w:t>
      </w:r>
    </w:p>
    <w:p>
      <w:pPr>
        <w:spacing w:after="80" w:line="360" w:lineRule="auto"/>
        <w:ind w:firstLine="482"/>
        <w:jc w:val="both"/>
      </w:pPr>
      <w:r>
        <w:rPr>
          <w:rFonts w:ascii="Times New Roman" w:hAnsi="Times New Roman" w:eastAsia="宋体"/>
          <w:sz w:val="24"/>
        </w:rPr>
        <w:t>3. 本科前两年半或三年学习成绩单原件及学习成绩排名证明原件（如不能提供，请所在学校院系或教务部门出具不能提供学习成绩排名的证明原件）；</w:t>
      </w:r>
    </w:p>
    <w:p>
      <w:pPr>
        <w:spacing w:after="80" w:line="360" w:lineRule="auto"/>
        <w:ind w:firstLine="482"/>
        <w:jc w:val="both"/>
      </w:pPr>
      <w:r>
        <w:rPr>
          <w:rFonts w:ascii="Times New Roman" w:hAnsi="Times New Roman" w:eastAsia="宋体"/>
          <w:sz w:val="24"/>
        </w:rPr>
        <w:t>4. 两封专家推荐信（下载附件3和附件4），须由专家亲笔签名。（1）申请人所在本科学校的教师（副教授及其以上职称）推荐信1封；（2）武汉大学生命科学学院的教师（副教授及其以上职称）推荐信1封。</w:t>
      </w:r>
    </w:p>
    <w:p>
      <w:pPr>
        <w:spacing w:after="80" w:line="360" w:lineRule="auto"/>
        <w:ind w:firstLine="482"/>
        <w:jc w:val="both"/>
      </w:pPr>
      <w:r>
        <w:rPr>
          <w:rFonts w:ascii="Times New Roman" w:hAnsi="Times New Roman" w:eastAsia="宋体"/>
          <w:sz w:val="24"/>
        </w:rPr>
        <w:t>5. 国家英语四、六级考试成绩或TOEFL/GRE/GMAT/IELTS成绩等体现自身外语水平的证明；</w:t>
      </w:r>
    </w:p>
    <w:p>
      <w:pPr>
        <w:spacing w:after="80" w:line="360" w:lineRule="auto"/>
        <w:ind w:firstLine="482"/>
        <w:jc w:val="both"/>
      </w:pPr>
      <w:r>
        <w:rPr>
          <w:rFonts w:ascii="Times New Roman" w:hAnsi="Times New Roman" w:eastAsia="宋体"/>
          <w:sz w:val="24"/>
        </w:rPr>
        <w:t>6. 体现自身学术水平的代表性学术论文、专利、出版物或原创性成果，各类获奖竞赛证书等证明；</w:t>
      </w:r>
    </w:p>
    <w:p>
      <w:pPr>
        <w:spacing w:after="80" w:line="360" w:lineRule="auto"/>
        <w:ind w:firstLine="482"/>
        <w:jc w:val="both"/>
      </w:pPr>
      <w:r>
        <w:rPr>
          <w:rFonts w:ascii="Times New Roman" w:hAnsi="Times New Roman" w:eastAsia="宋体"/>
          <w:sz w:val="24"/>
        </w:rPr>
        <w:t>7.《诚信参加夏令营承诺书》（下载附件5）</w:t>
      </w:r>
    </w:p>
    <w:p>
      <w:pPr>
        <w:spacing w:after="80" w:line="360" w:lineRule="auto"/>
        <w:ind w:firstLine="482"/>
        <w:jc w:val="both"/>
      </w:pPr>
      <w:r>
        <w:rPr>
          <w:rFonts w:ascii="Times New Roman" w:hAnsi="Times New Roman" w:eastAsia="宋体"/>
          <w:sz w:val="24"/>
        </w:rPr>
        <w:t>（三）申请办法</w:t>
      </w:r>
    </w:p>
    <w:p>
      <w:pPr>
        <w:spacing w:after="80" w:line="360" w:lineRule="auto"/>
        <w:ind w:firstLine="482"/>
        <w:jc w:val="both"/>
      </w:pPr>
      <w:r>
        <w:rPr>
          <w:rFonts w:ascii="Times New Roman" w:hAnsi="Times New Roman" w:eastAsia="宋体"/>
          <w:sz w:val="24"/>
        </w:rPr>
        <w:t>1. 网上申请</w:t>
      </w:r>
    </w:p>
    <w:p>
      <w:pPr>
        <w:spacing w:after="80" w:line="360" w:lineRule="auto"/>
        <w:ind w:firstLine="482"/>
        <w:jc w:val="both"/>
      </w:pPr>
      <w:r>
        <w:rPr>
          <w:rFonts w:ascii="Times New Roman" w:hAnsi="Times New Roman" w:eastAsia="宋体"/>
          <w:sz w:val="24"/>
        </w:rPr>
        <w:t>6月30日24:00前，申请人登录“武汉大学研究生招生服务平台（http://yz.whu.edu.cn）”（以下简称“夏令营系统”，请使用Google Chrome浏览器），根据系统要求上传相关材料。</w:t>
      </w:r>
    </w:p>
    <w:p>
      <w:pPr>
        <w:spacing w:after="80" w:line="360" w:lineRule="auto"/>
        <w:ind w:firstLine="482"/>
        <w:jc w:val="both"/>
      </w:pPr>
      <w:r>
        <w:rPr>
          <w:rFonts w:ascii="Times New Roman" w:hAnsi="Times New Roman" w:eastAsia="宋体"/>
          <w:sz w:val="24"/>
        </w:rPr>
        <w:t>参加夏令营活动的专业/研究方向请见下表，夏令营导师信息查看附件6（点击教师姓名可查看个人主页）。</w:t>
      </w:r>
    </w:p>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Pr>
                <w:rFonts w:ascii="Times New Roman" w:hAnsi="Times New Roman" w:eastAsia="宋体"/>
                <w:sz w:val="21"/>
              </w:rPr>
              <w:t>申请层次</w:t>
            </w:r>
          </w:p>
        </w:tc>
        <w:tc>
          <w:tcPr>
            <w:tcW w:type="dxa" w:w="1727"/>
          </w:tcPr>
          <w:p>
            <w:pPr>
              <w:jc w:val="center"/>
            </w:pPr>
            <w:r>
              <w:rPr>
                <w:rFonts w:ascii="Times New Roman" w:hAnsi="Times New Roman" w:eastAsia="宋体"/>
                <w:sz w:val="21"/>
              </w:rPr>
              <w:t>专业</w:t>
            </w:r>
          </w:p>
        </w:tc>
        <w:tc>
          <w:tcPr>
            <w:tcW w:type="dxa" w:w="1727"/>
          </w:tcPr>
          <w:p>
            <w:pPr>
              <w:jc w:val="center"/>
            </w:pPr>
            <w:r>
              <w:rPr>
                <w:rFonts w:ascii="Times New Roman" w:hAnsi="Times New Roman" w:eastAsia="宋体"/>
                <w:sz w:val="21"/>
              </w:rPr>
              <w:t>研究方向</w:t>
            </w:r>
          </w:p>
        </w:tc>
        <w:tc>
          <w:tcPr>
            <w:tcW w:type="dxa" w:w="1727"/>
          </w:tcPr>
          <w:p>
            <w:pPr>
              <w:jc w:val="center"/>
            </w:pPr>
            <w:r>
              <w:rPr>
                <w:rFonts w:ascii="Times New Roman" w:hAnsi="Times New Roman" w:eastAsia="宋体"/>
                <w:sz w:val="21"/>
              </w:rPr>
              <w:t>备注</w:t>
            </w:r>
          </w:p>
        </w:tc>
        <w:tc>
          <w:tcPr>
            <w:tcW w:type="dxa" w:w="1727"/>
          </w:tcPr>
          <w:p>
            <w:pPr>
              <w:jc w:val="center"/>
            </w:pPr>
            <w:r>
              <w:rPr>
                <w:rFonts w:ascii="Times New Roman" w:hAnsi="Times New Roman" w:eastAsia="宋体"/>
                <w:sz w:val="21"/>
              </w:rPr>
              <w:t>硕士</w:t>
            </w:r>
          </w:p>
        </w:tc>
      </w:tr>
      <w:tr>
        <w:tc>
          <w:tcPr>
            <w:tcW w:type="dxa" w:w="1727"/>
          </w:tcPr>
          <w:p>
            <w:pPr>
              <w:jc w:val="center"/>
            </w:pPr>
            <w:r>
              <w:rPr>
                <w:rFonts w:ascii="Times New Roman" w:hAnsi="Times New Roman" w:eastAsia="宋体"/>
                <w:sz w:val="21"/>
              </w:rPr>
              <w:t>071000生物学</w:t>
            </w:r>
          </w:p>
        </w:tc>
        <w:tc>
          <w:tcPr>
            <w:tcW w:type="dxa" w:w="1727"/>
          </w:tcPr>
          <w:p>
            <w:pPr>
              <w:jc w:val="center"/>
            </w:pPr>
            <w:r>
              <w:rPr>
                <w:rFonts w:ascii="Times New Roman" w:hAnsi="Times New Roman" w:eastAsia="宋体"/>
                <w:sz w:val="21"/>
              </w:rPr>
              <w:t>02细胞生物学</w:t>
            </w:r>
          </w:p>
        </w:tc>
        <w:tc>
          <w:tcPr>
            <w:tcW w:type="dxa" w:w="1727"/>
          </w:tcPr>
          <w:p>
            <w:pPr>
              <w:jc w:val="center"/>
            </w:pPr>
            <w:r>
              <w:rPr>
                <w:rFonts w:ascii="Times New Roman" w:hAnsi="Times New Roman" w:eastAsia="宋体"/>
                <w:sz w:val="21"/>
              </w:rPr>
              <w:t>03遗传学</w:t>
            </w:r>
          </w:p>
        </w:tc>
        <w:tc>
          <w:tcPr>
            <w:tcW w:type="dxa" w:w="1727"/>
          </w:tcPr>
          <w:p>
            <w:pPr>
              <w:jc w:val="center"/>
            </w:pPr>
            <w:r>
              <w:rPr>
                <w:rFonts w:ascii="Times New Roman" w:hAnsi="Times New Roman" w:eastAsia="宋体"/>
                <w:sz w:val="21"/>
              </w:rPr>
              <w:t>04微生物学</w:t>
            </w:r>
          </w:p>
        </w:tc>
        <w:tc>
          <w:tcPr>
            <w:tcW w:type="dxa" w:w="1727"/>
          </w:tcPr>
          <w:p>
            <w:pPr>
              <w:jc w:val="center"/>
            </w:pPr>
            <w:r>
              <w:rPr>
                <w:rFonts w:ascii="Times New Roman" w:hAnsi="Times New Roman" w:eastAsia="宋体"/>
                <w:sz w:val="21"/>
              </w:rPr>
              <w:t>05植物科学（含发育生物学）</w:t>
            </w:r>
          </w:p>
        </w:tc>
      </w:tr>
      <w:tr>
        <w:tc>
          <w:tcPr>
            <w:tcW w:type="dxa" w:w="1727"/>
          </w:tcPr>
          <w:p>
            <w:pPr>
              <w:jc w:val="center"/>
            </w:pPr>
            <w:r>
              <w:rPr>
                <w:rFonts w:ascii="Times New Roman" w:hAnsi="Times New Roman" w:eastAsia="宋体"/>
                <w:sz w:val="21"/>
              </w:rPr>
              <w:t>06病毒学</w:t>
            </w:r>
          </w:p>
        </w:tc>
        <w:tc>
          <w:tcPr>
            <w:tcW w:type="dxa" w:w="1727"/>
          </w:tcPr>
          <w:p>
            <w:pPr>
              <w:jc w:val="center"/>
            </w:pPr>
            <w:r>
              <w:rPr>
                <w:rFonts w:ascii="Times New Roman" w:hAnsi="Times New Roman" w:eastAsia="宋体"/>
                <w:sz w:val="21"/>
              </w:rPr>
              <w:t>071300生态学</w:t>
            </w:r>
          </w:p>
        </w:tc>
        <w:tc>
          <w:tcPr>
            <w:tcW w:type="dxa" w:w="1727"/>
          </w:tcPr>
          <w:p>
            <w:pPr>
              <w:jc w:val="center"/>
            </w:pPr>
            <w:r>
              <w:rPr>
                <w:rFonts w:ascii="Times New Roman" w:hAnsi="Times New Roman" w:eastAsia="宋体"/>
                <w:sz w:val="21"/>
              </w:rPr>
              <w:t>/</w:t>
            </w:r>
          </w:p>
        </w:tc>
        <w:tc>
          <w:tcPr>
            <w:tcW w:type="dxa" w:w="1727"/>
          </w:tcPr>
          <w:p>
            <w:pPr>
              <w:jc w:val="center"/>
            </w:pPr>
            <w:r>
              <w:rPr>
                <w:rFonts w:ascii="Times New Roman" w:hAnsi="Times New Roman" w:eastAsia="宋体"/>
                <w:sz w:val="21"/>
              </w:rPr>
              <w:t>按专业审核营员并</w:t>
            </w:r>
          </w:p>
        </w:tc>
        <w:tc>
          <w:tcPr>
            <w:tcW w:type="dxa" w:w="1727"/>
          </w:tcPr>
          <w:p>
            <w:pPr>
              <w:jc w:val="center"/>
            </w:pPr>
            <w:r>
              <w:rPr>
                <w:rFonts w:ascii="Times New Roman" w:hAnsi="Times New Roman" w:eastAsia="宋体"/>
                <w:sz w:val="21"/>
              </w:rPr>
              <w:t>开展师生交流活动</w:t>
            </w:r>
          </w:p>
        </w:tc>
      </w:tr>
      <w:tr>
        <w:tc>
          <w:tcPr>
            <w:tcW w:type="dxa" w:w="1727"/>
          </w:tcPr>
          <w:p>
            <w:pPr>
              <w:jc w:val="center"/>
            </w:pPr>
            <w:r>
              <w:rPr>
                <w:rFonts w:ascii="Times New Roman" w:hAnsi="Times New Roman" w:eastAsia="宋体"/>
                <w:sz w:val="21"/>
              </w:rPr>
              <w:t>博士</w:t>
            </w:r>
          </w:p>
        </w:tc>
        <w:tc>
          <w:tcPr>
            <w:tcW w:type="dxa" w:w="1727"/>
          </w:tcPr>
          <w:p>
            <w:pPr>
              <w:jc w:val="center"/>
            </w:pPr>
            <w:r>
              <w:rPr>
                <w:rFonts w:ascii="Times New Roman" w:hAnsi="Times New Roman" w:eastAsia="宋体"/>
                <w:sz w:val="21"/>
              </w:rPr>
              <w:t>071005微生物学</w:t>
            </w:r>
          </w:p>
        </w:tc>
        <w:tc>
          <w:tcPr>
            <w:tcW w:type="dxa" w:w="1727"/>
          </w:tcPr>
          <w:p>
            <w:pPr>
              <w:jc w:val="center"/>
            </w:pPr>
            <w:r>
              <w:rPr>
                <w:rFonts w:ascii="Times New Roman" w:hAnsi="Times New Roman" w:eastAsia="宋体"/>
                <w:sz w:val="21"/>
              </w:rPr>
              <w:t>普通微生物学方向（01-04）</w:t>
            </w:r>
          </w:p>
        </w:tc>
        <w:tc>
          <w:tcPr>
            <w:tcW w:type="dxa" w:w="1727"/>
          </w:tcPr>
          <w:p>
            <w:pPr>
              <w:jc w:val="center"/>
            </w:pPr>
            <w:r>
              <w:rPr>
                <w:rFonts w:ascii="Times New Roman" w:hAnsi="Times New Roman" w:eastAsia="宋体"/>
                <w:sz w:val="21"/>
              </w:rPr>
              <w:t>病毒学方向（05-11）</w:t>
            </w:r>
          </w:p>
        </w:tc>
        <w:tc>
          <w:tcPr>
            <w:tcW w:type="dxa" w:w="1727"/>
          </w:tcPr>
          <w:p>
            <w:pPr>
              <w:jc w:val="center"/>
            </w:pPr>
            <w:r>
              <w:rPr>
                <w:rFonts w:ascii="Times New Roman" w:hAnsi="Times New Roman" w:eastAsia="宋体"/>
                <w:sz w:val="21"/>
              </w:rPr>
              <w:t>按研究方向审核营员并</w:t>
            </w:r>
          </w:p>
        </w:tc>
      </w:tr>
      <w:tr>
        <w:tc>
          <w:tcPr>
            <w:tcW w:type="dxa" w:w="1727"/>
          </w:tcPr>
          <w:p>
            <w:pPr>
              <w:jc w:val="center"/>
            </w:pPr>
            <w:r>
              <w:rPr>
                <w:rFonts w:ascii="Times New Roman" w:hAnsi="Times New Roman" w:eastAsia="宋体"/>
                <w:sz w:val="21"/>
              </w:rPr>
              <w:t>开展师生交流活动</w:t>
            </w:r>
          </w:p>
        </w:tc>
        <w:tc>
          <w:tcPr>
            <w:tcW w:type="dxa" w:w="1727"/>
          </w:tcPr>
          <w:p>
            <w:pPr>
              <w:jc w:val="center"/>
            </w:pPr>
            <w:r>
              <w:rPr>
                <w:rFonts w:ascii="Times New Roman" w:hAnsi="Times New Roman" w:eastAsia="宋体"/>
                <w:sz w:val="21"/>
              </w:rPr>
              <w:t>071007遗传学</w:t>
            </w:r>
          </w:p>
        </w:tc>
        <w:tc>
          <w:tcPr>
            <w:tcW w:type="dxa" w:w="1727"/>
          </w:tcPr>
          <w:p>
            <w:pPr>
              <w:jc w:val="center"/>
            </w:pPr>
            <w:r>
              <w:rPr>
                <w:rFonts w:ascii="Times New Roman" w:hAnsi="Times New Roman" w:eastAsia="宋体"/>
                <w:sz w:val="21"/>
              </w:rPr>
              <w:t>/</w:t>
            </w:r>
          </w:p>
        </w:tc>
        <w:tc>
          <w:tcPr>
            <w:tcW w:type="dxa" w:w="1727"/>
          </w:tcPr>
          <w:p>
            <w:pPr>
              <w:jc w:val="center"/>
            </w:pPr>
            <w:r>
              <w:rPr>
                <w:rFonts w:ascii="Times New Roman" w:hAnsi="Times New Roman" w:eastAsia="宋体"/>
                <w:sz w:val="21"/>
              </w:rPr>
              <w:t>按专业审核营员并</w:t>
            </w:r>
          </w:p>
        </w:tc>
        <w:tc>
          <w:tcPr>
            <w:tcW w:type="dxa" w:w="1727"/>
          </w:tcPr>
          <w:p>
            <w:pPr>
              <w:jc w:val="center"/>
            </w:pPr>
            <w:r>
              <w:rPr>
                <w:rFonts w:ascii="Times New Roman" w:hAnsi="Times New Roman" w:eastAsia="宋体"/>
                <w:sz w:val="21"/>
              </w:rPr>
              <w:t>开展师生交流活动</w:t>
            </w:r>
          </w:p>
        </w:tc>
      </w:tr>
      <w:tr>
        <w:tc>
          <w:tcPr>
            <w:tcW w:type="dxa" w:w="1727"/>
          </w:tcPr>
          <w:p>
            <w:pPr>
              <w:jc w:val="center"/>
            </w:pPr>
            <w:r>
              <w:rPr>
                <w:rFonts w:ascii="Times New Roman" w:hAnsi="Times New Roman" w:eastAsia="宋体"/>
                <w:sz w:val="21"/>
              </w:rPr>
              <w:t>071008发育生物学</w:t>
            </w:r>
          </w:p>
        </w:tc>
        <w:tc>
          <w:tcPr>
            <w:tcW w:type="dxa" w:w="1727"/>
          </w:tcPr>
          <w:p>
            <w:pPr>
              <w:jc w:val="center"/>
            </w:pPr>
            <w:r>
              <w:rPr>
                <w:rFonts w:ascii="Times New Roman" w:hAnsi="Times New Roman" w:eastAsia="宋体"/>
                <w:sz w:val="21"/>
              </w:rPr>
              <w:t>/</w:t>
            </w:r>
          </w:p>
        </w:tc>
        <w:tc>
          <w:tcPr>
            <w:tcW w:type="dxa" w:w="1727"/>
          </w:tcPr>
          <w:p>
            <w:pPr>
              <w:jc w:val="center"/>
            </w:pPr>
            <w:r>
              <w:rPr>
                <w:rFonts w:ascii="Times New Roman" w:hAnsi="Times New Roman" w:eastAsia="宋体"/>
                <w:sz w:val="21"/>
              </w:rPr>
              <w:t>071009细胞生物学</w:t>
            </w:r>
          </w:p>
        </w:tc>
        <w:tc>
          <w:tcPr>
            <w:tcW w:type="dxa" w:w="1727"/>
          </w:tcPr>
          <w:p>
            <w:pPr>
              <w:jc w:val="center"/>
            </w:pPr>
            <w:r>
              <w:rPr>
                <w:rFonts w:ascii="Times New Roman" w:hAnsi="Times New Roman" w:eastAsia="宋体"/>
                <w:sz w:val="21"/>
              </w:rPr>
              <w:t>/</w:t>
            </w:r>
          </w:p>
        </w:tc>
        <w:tc>
          <w:tcPr>
            <w:tcW w:type="dxa" w:w="1727"/>
          </w:tcPr>
          <w:p>
            <w:pPr>
              <w:jc w:val="center"/>
            </w:pPr>
            <w:r>
              <w:rPr>
                <w:rFonts w:ascii="Times New Roman" w:hAnsi="Times New Roman" w:eastAsia="宋体"/>
                <w:sz w:val="21"/>
              </w:rPr>
              <w:t>071300生态学</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